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color w:val="auto"/>
        </w:rPr>
      </w:pPr>
      <w:r>
        <w:rPr>
          <w:rFonts w:hint="eastAsia"/>
          <w:color w:val="auto"/>
        </w:rPr>
        <w:t>资阳市精神病医院</w:t>
      </w:r>
    </w:p>
    <w:p>
      <w:pPr>
        <w:pStyle w:val="2"/>
        <w:bidi w:val="0"/>
        <w:rPr>
          <w:rFonts w:hint="eastAsia"/>
          <w:color w:val="auto"/>
        </w:rPr>
      </w:pPr>
      <w:r>
        <w:rPr>
          <w:rFonts w:hint="eastAsia"/>
          <w:color w:val="auto"/>
        </w:rPr>
        <w:t>党建阵地设计制作安装服务采购项目</w:t>
      </w:r>
    </w:p>
    <w:p>
      <w:pPr>
        <w:pStyle w:val="2"/>
        <w:bidi w:val="0"/>
        <w:rPr>
          <w:color w:val="auto"/>
        </w:rPr>
      </w:pPr>
      <w:r>
        <w:rPr>
          <w:rFonts w:hint="eastAsia"/>
          <w:color w:val="auto"/>
        </w:rPr>
        <w:t>询价公告</w:t>
      </w:r>
    </w:p>
    <w:p>
      <w:pPr>
        <w:spacing w:line="220" w:lineRule="atLeast"/>
        <w:rPr>
          <w:color w:val="auto"/>
        </w:rPr>
      </w:pPr>
    </w:p>
    <w:p>
      <w:pPr>
        <w:spacing w:line="220" w:lineRule="atLeast"/>
        <w:ind w:firstLine="440" w:firstLineChars="200"/>
        <w:rPr>
          <w:rFonts w:hint="eastAsia" w:ascii="仿宋" w:hAnsi="仿宋" w:eastAsia="仿宋" w:cs="仿宋"/>
          <w:color w:val="auto"/>
        </w:rPr>
      </w:pPr>
      <w:r>
        <w:rPr>
          <w:rFonts w:hint="eastAsia" w:ascii="仿宋" w:hAnsi="仿宋" w:eastAsia="仿宋" w:cs="仿宋"/>
          <w:color w:val="auto"/>
        </w:rPr>
        <w:t>我院因业务发展需要，拟采购党建阵地设计制作安装服务一下项，现将有关情况公示如下:</w:t>
      </w:r>
      <w:r>
        <w:rPr>
          <w:rFonts w:hint="eastAsia" w:ascii="仿宋" w:hAnsi="仿宋" w:eastAsia="仿宋" w:cs="仿宋"/>
          <w:color w:val="auto"/>
        </w:rPr>
        <w:br w:type="textWrapping"/>
      </w:r>
      <w:r>
        <w:rPr>
          <w:rFonts w:hint="eastAsia" w:ascii="仿宋" w:hAnsi="仿宋" w:eastAsia="仿宋" w:cs="仿宋"/>
          <w:b/>
          <w:bCs/>
          <w:color w:val="auto"/>
        </w:rPr>
        <w:t>一、投标须知</w:t>
      </w:r>
    </w:p>
    <w:p>
      <w:pPr>
        <w:spacing w:line="220" w:lineRule="atLeast"/>
        <w:rPr>
          <w:rFonts w:hint="eastAsia" w:ascii="仿宋" w:hAnsi="仿宋" w:eastAsia="仿宋" w:cs="仿宋"/>
          <w:color w:val="auto"/>
        </w:rPr>
      </w:pPr>
      <w:r>
        <w:rPr>
          <w:rFonts w:hint="eastAsia" w:ascii="仿宋" w:hAnsi="仿宋" w:eastAsia="仿宋" w:cs="仿宋"/>
          <w:color w:val="auto"/>
        </w:rPr>
        <w:t>1.1项目名称：党建阵地设计制作安装服务采购项目</w:t>
      </w:r>
    </w:p>
    <w:p>
      <w:pPr>
        <w:spacing w:line="220" w:lineRule="atLeast"/>
        <w:rPr>
          <w:rFonts w:hint="eastAsia" w:ascii="仿宋" w:hAnsi="仿宋" w:eastAsia="仿宋" w:cs="仿宋"/>
          <w:color w:val="auto"/>
        </w:rPr>
      </w:pPr>
      <w:r>
        <w:rPr>
          <w:rFonts w:hint="eastAsia" w:ascii="仿宋" w:hAnsi="仿宋" w:eastAsia="仿宋" w:cs="仿宋"/>
          <w:color w:val="auto"/>
        </w:rPr>
        <w:t>1.2采购最高限价：</w:t>
      </w:r>
      <w:r>
        <w:rPr>
          <w:rFonts w:hint="eastAsia" w:ascii="仿宋" w:hAnsi="仿宋" w:eastAsia="仿宋" w:cs="仿宋"/>
          <w:color w:val="auto"/>
        </w:rPr>
        <w:t>25338.40元</w:t>
      </w:r>
    </w:p>
    <w:p>
      <w:pPr>
        <w:spacing w:line="220" w:lineRule="atLeast"/>
        <w:rPr>
          <w:rFonts w:hint="eastAsia" w:ascii="仿宋" w:hAnsi="仿宋" w:eastAsia="仿宋" w:cs="仿宋"/>
          <w:color w:val="auto"/>
        </w:rPr>
      </w:pPr>
      <w:r>
        <w:rPr>
          <w:rFonts w:hint="eastAsia" w:ascii="仿宋" w:hAnsi="仿宋" w:eastAsia="仿宋" w:cs="仿宋"/>
          <w:color w:val="auto"/>
        </w:rPr>
        <w:t>1.3评标方式：一次报价，低价中标。如存在不唯一最低价，采取随机抽取的形式产生中标人。</w:t>
      </w:r>
    </w:p>
    <w:p>
      <w:pPr>
        <w:spacing w:line="220" w:lineRule="atLeast"/>
        <w:rPr>
          <w:rFonts w:hint="eastAsia" w:ascii="仿宋" w:hAnsi="仿宋" w:eastAsia="仿宋" w:cs="仿宋"/>
          <w:color w:val="auto"/>
        </w:rPr>
      </w:pPr>
      <w:r>
        <w:rPr>
          <w:rFonts w:hint="eastAsia" w:ascii="仿宋" w:hAnsi="仿宋" w:eastAsia="仿宋" w:cs="仿宋"/>
          <w:color w:val="auto"/>
        </w:rPr>
        <w:t>1.4响应供应商资质要求：</w:t>
      </w:r>
    </w:p>
    <w:p>
      <w:pPr>
        <w:spacing w:line="220" w:lineRule="atLeast"/>
        <w:rPr>
          <w:rFonts w:hint="eastAsia" w:ascii="仿宋" w:hAnsi="仿宋" w:eastAsia="仿宋" w:cs="仿宋"/>
          <w:color w:val="auto"/>
        </w:rPr>
      </w:pPr>
      <w:r>
        <w:rPr>
          <w:rFonts w:hint="eastAsia" w:ascii="仿宋" w:hAnsi="仿宋" w:eastAsia="仿宋" w:cs="仿宋"/>
          <w:color w:val="auto"/>
        </w:rPr>
        <w:t>响应供应商满足《中华人民共和国政府采购法》第二十二条规定。</w:t>
      </w:r>
    </w:p>
    <w:p>
      <w:pPr>
        <w:spacing w:line="220" w:lineRule="atLeast"/>
        <w:rPr>
          <w:rFonts w:hint="eastAsia" w:ascii="仿宋" w:hAnsi="仿宋" w:eastAsia="仿宋" w:cs="仿宋"/>
          <w:color w:val="auto"/>
        </w:rPr>
      </w:pPr>
      <w:r>
        <w:rPr>
          <w:rFonts w:hint="eastAsia" w:ascii="仿宋" w:hAnsi="仿宋" w:eastAsia="仿宋" w:cs="仿宋"/>
          <w:color w:val="auto"/>
        </w:rPr>
        <w:t>1.5响应供应商参加投标不得有下列情形：（实质性要求）</w:t>
      </w:r>
    </w:p>
    <w:p>
      <w:pPr>
        <w:spacing w:line="220" w:lineRule="atLeast"/>
        <w:rPr>
          <w:rFonts w:hint="eastAsia" w:ascii="仿宋" w:hAnsi="仿宋" w:eastAsia="仿宋" w:cs="仿宋"/>
          <w:color w:val="auto"/>
        </w:rPr>
      </w:pPr>
      <w:r>
        <w:rPr>
          <w:rFonts w:hint="eastAsia" w:ascii="仿宋" w:hAnsi="仿宋" w:eastAsia="仿宋" w:cs="仿宋"/>
          <w:color w:val="auto"/>
        </w:rPr>
        <w:t>1.5.1有下列情形之一的，视为响应供应商串通投标：</w:t>
      </w:r>
    </w:p>
    <w:p>
      <w:pPr>
        <w:spacing w:line="220" w:lineRule="atLeast"/>
        <w:rPr>
          <w:rFonts w:hint="eastAsia" w:ascii="仿宋" w:hAnsi="仿宋" w:eastAsia="仿宋" w:cs="仿宋"/>
          <w:color w:val="auto"/>
        </w:rPr>
      </w:pPr>
      <w:r>
        <w:rPr>
          <w:rFonts w:hint="eastAsia" w:ascii="仿宋" w:hAnsi="仿宋" w:eastAsia="仿宋" w:cs="仿宋"/>
          <w:color w:val="auto"/>
        </w:rPr>
        <w:t>1.5.1.1不同响应供应商的响应文件由同一单位或者个人编制；</w:t>
      </w:r>
    </w:p>
    <w:p>
      <w:pPr>
        <w:spacing w:line="220" w:lineRule="atLeast"/>
        <w:rPr>
          <w:rFonts w:hint="eastAsia" w:ascii="仿宋" w:hAnsi="仿宋" w:eastAsia="仿宋" w:cs="仿宋"/>
          <w:color w:val="auto"/>
        </w:rPr>
      </w:pPr>
      <w:r>
        <w:rPr>
          <w:rFonts w:hint="eastAsia" w:ascii="仿宋" w:hAnsi="仿宋" w:eastAsia="仿宋" w:cs="仿宋"/>
          <w:color w:val="auto"/>
        </w:rPr>
        <w:t>1.5.1.2不同响应供应商委托同一单位或者个人办理投标事宜；</w:t>
      </w:r>
    </w:p>
    <w:p>
      <w:pPr>
        <w:spacing w:line="220" w:lineRule="atLeast"/>
        <w:rPr>
          <w:rFonts w:hint="eastAsia" w:ascii="仿宋" w:hAnsi="仿宋" w:eastAsia="仿宋" w:cs="仿宋"/>
          <w:color w:val="auto"/>
        </w:rPr>
      </w:pPr>
      <w:r>
        <w:rPr>
          <w:rFonts w:hint="eastAsia" w:ascii="仿宋" w:hAnsi="仿宋" w:eastAsia="仿宋" w:cs="仿宋"/>
          <w:color w:val="auto"/>
        </w:rPr>
        <w:t>1.5.1.3不同响应供应商的响应文件载明的项目管理成员或者联系人员为同一人；</w:t>
      </w:r>
    </w:p>
    <w:p>
      <w:pPr>
        <w:spacing w:line="220" w:lineRule="atLeast"/>
        <w:rPr>
          <w:rFonts w:hint="eastAsia" w:ascii="仿宋" w:hAnsi="仿宋" w:eastAsia="仿宋" w:cs="仿宋"/>
          <w:color w:val="auto"/>
        </w:rPr>
      </w:pPr>
      <w:r>
        <w:rPr>
          <w:rFonts w:hint="eastAsia" w:ascii="仿宋" w:hAnsi="仿宋" w:eastAsia="仿宋" w:cs="仿宋"/>
          <w:color w:val="auto"/>
        </w:rPr>
        <w:t>1.5.1.4不同响应供应商的响应文件异常一致或者投标报价呈规律性差异；</w:t>
      </w:r>
    </w:p>
    <w:p>
      <w:pPr>
        <w:spacing w:line="220" w:lineRule="atLeast"/>
        <w:rPr>
          <w:rFonts w:hint="eastAsia" w:ascii="仿宋" w:hAnsi="仿宋" w:eastAsia="仿宋" w:cs="仿宋"/>
          <w:color w:val="auto"/>
        </w:rPr>
      </w:pPr>
      <w:r>
        <w:rPr>
          <w:rFonts w:hint="eastAsia" w:ascii="仿宋" w:hAnsi="仿宋" w:eastAsia="仿宋" w:cs="仿宋"/>
          <w:color w:val="auto"/>
        </w:rPr>
        <w:t>1.5.1.5不同响应供应商的响应文件相互混装。</w:t>
      </w:r>
    </w:p>
    <w:p>
      <w:pPr>
        <w:spacing w:line="220" w:lineRule="atLeast"/>
        <w:rPr>
          <w:rFonts w:hint="eastAsia" w:ascii="仿宋" w:hAnsi="仿宋" w:eastAsia="仿宋" w:cs="仿宋"/>
          <w:color w:val="auto"/>
        </w:rPr>
      </w:pPr>
      <w:r>
        <w:rPr>
          <w:rFonts w:hint="eastAsia" w:ascii="仿宋" w:hAnsi="仿宋" w:eastAsia="仿宋" w:cs="仿宋"/>
          <w:color w:val="auto"/>
        </w:rPr>
        <w:t>1.5.2提供虚假材料谋取中标；</w:t>
      </w:r>
    </w:p>
    <w:p>
      <w:pPr>
        <w:spacing w:line="220" w:lineRule="atLeast"/>
        <w:rPr>
          <w:rFonts w:hint="eastAsia" w:ascii="仿宋" w:hAnsi="仿宋" w:eastAsia="仿宋" w:cs="仿宋"/>
          <w:color w:val="auto"/>
        </w:rPr>
      </w:pPr>
      <w:r>
        <w:rPr>
          <w:rFonts w:hint="eastAsia" w:ascii="仿宋" w:hAnsi="仿宋" w:eastAsia="仿宋" w:cs="仿宋"/>
          <w:color w:val="auto"/>
        </w:rPr>
        <w:t>1.5.3采取不正当手段诋毁、排挤其他响应供应商；</w:t>
      </w:r>
    </w:p>
    <w:p>
      <w:pPr>
        <w:spacing w:line="220" w:lineRule="atLeast"/>
        <w:rPr>
          <w:rFonts w:hint="eastAsia" w:ascii="仿宋" w:hAnsi="仿宋" w:eastAsia="仿宋" w:cs="仿宋"/>
          <w:color w:val="auto"/>
        </w:rPr>
      </w:pPr>
      <w:r>
        <w:rPr>
          <w:rFonts w:hint="eastAsia" w:ascii="仿宋" w:hAnsi="仿宋" w:eastAsia="仿宋" w:cs="仿宋"/>
          <w:color w:val="auto"/>
        </w:rPr>
        <w:t>1.5.4与采购人、其他响应供应商恶意串通；</w:t>
      </w:r>
    </w:p>
    <w:p>
      <w:pPr>
        <w:spacing w:line="220" w:lineRule="atLeast"/>
        <w:rPr>
          <w:rFonts w:hint="eastAsia" w:ascii="仿宋" w:hAnsi="仿宋" w:eastAsia="仿宋" w:cs="仿宋"/>
          <w:color w:val="auto"/>
        </w:rPr>
      </w:pPr>
      <w:r>
        <w:rPr>
          <w:rFonts w:hint="eastAsia" w:ascii="仿宋" w:hAnsi="仿宋" w:eastAsia="仿宋" w:cs="仿宋"/>
          <w:color w:val="auto"/>
        </w:rPr>
        <w:t>1.5.5向采购人或代理机构、评标委员会成员行贿或者提供其他不正当利益；</w:t>
      </w:r>
    </w:p>
    <w:p>
      <w:pPr>
        <w:spacing w:line="220" w:lineRule="atLeast"/>
        <w:rPr>
          <w:rFonts w:hint="eastAsia" w:ascii="仿宋" w:hAnsi="仿宋" w:eastAsia="仿宋" w:cs="仿宋"/>
          <w:color w:val="auto"/>
        </w:rPr>
      </w:pPr>
      <w:r>
        <w:rPr>
          <w:rFonts w:hint="eastAsia" w:ascii="仿宋" w:hAnsi="仿宋" w:eastAsia="仿宋" w:cs="仿宋"/>
          <w:color w:val="auto"/>
        </w:rPr>
        <w:t>1.5.6在招标过程中与采购人进行非正常的协商谈判；</w:t>
      </w:r>
    </w:p>
    <w:p>
      <w:pPr>
        <w:spacing w:line="220" w:lineRule="atLeast"/>
        <w:rPr>
          <w:rFonts w:hint="eastAsia" w:ascii="仿宋" w:hAnsi="仿宋" w:eastAsia="仿宋" w:cs="仿宋"/>
          <w:color w:val="auto"/>
        </w:rPr>
      </w:pPr>
      <w:r>
        <w:rPr>
          <w:rFonts w:hint="eastAsia" w:ascii="仿宋" w:hAnsi="仿宋" w:eastAsia="仿宋" w:cs="仿宋"/>
          <w:color w:val="auto"/>
        </w:rPr>
        <w:t>1.5.7中标后无正当理由拒不与采购人签订采购合同；</w:t>
      </w:r>
    </w:p>
    <w:p>
      <w:pPr>
        <w:spacing w:line="220" w:lineRule="atLeast"/>
        <w:rPr>
          <w:rFonts w:hint="eastAsia" w:ascii="仿宋" w:hAnsi="仿宋" w:eastAsia="仿宋" w:cs="仿宋"/>
          <w:color w:val="auto"/>
        </w:rPr>
      </w:pPr>
      <w:r>
        <w:rPr>
          <w:rFonts w:hint="eastAsia" w:ascii="仿宋" w:hAnsi="仿宋" w:eastAsia="仿宋" w:cs="仿宋"/>
          <w:color w:val="auto"/>
        </w:rPr>
        <w:t>1.5.8未按照询价公告确定的事项签订采购合同；</w:t>
      </w:r>
    </w:p>
    <w:p>
      <w:pPr>
        <w:spacing w:line="220" w:lineRule="atLeast"/>
        <w:rPr>
          <w:rFonts w:hint="eastAsia" w:ascii="仿宋" w:hAnsi="仿宋" w:eastAsia="仿宋" w:cs="仿宋"/>
          <w:color w:val="auto"/>
        </w:rPr>
      </w:pPr>
      <w:r>
        <w:rPr>
          <w:rFonts w:hint="eastAsia" w:ascii="仿宋" w:hAnsi="仿宋" w:eastAsia="仿宋" w:cs="仿宋"/>
          <w:color w:val="auto"/>
        </w:rPr>
        <w:t>1.5.9将采购合同转包或者违规分包；</w:t>
      </w:r>
    </w:p>
    <w:p>
      <w:pPr>
        <w:spacing w:line="220" w:lineRule="atLeast"/>
        <w:rPr>
          <w:rFonts w:hint="eastAsia" w:ascii="仿宋" w:hAnsi="仿宋" w:eastAsia="仿宋" w:cs="仿宋"/>
          <w:color w:val="auto"/>
        </w:rPr>
      </w:pPr>
      <w:r>
        <w:rPr>
          <w:rFonts w:hint="eastAsia" w:ascii="仿宋" w:hAnsi="仿宋" w:eastAsia="仿宋" w:cs="仿宋"/>
          <w:color w:val="auto"/>
        </w:rPr>
        <w:t>1.5.10提供假冒伪劣产品；</w:t>
      </w:r>
    </w:p>
    <w:p>
      <w:pPr>
        <w:spacing w:line="220" w:lineRule="atLeast"/>
        <w:rPr>
          <w:rFonts w:hint="eastAsia" w:ascii="仿宋" w:hAnsi="仿宋" w:eastAsia="仿宋" w:cs="仿宋"/>
          <w:color w:val="auto"/>
        </w:rPr>
      </w:pPr>
      <w:r>
        <w:rPr>
          <w:rFonts w:hint="eastAsia" w:ascii="仿宋" w:hAnsi="仿宋" w:eastAsia="仿宋" w:cs="仿宋"/>
          <w:color w:val="auto"/>
        </w:rPr>
        <w:t>1.5.11擅自变更、中止或者终止采购合同；</w:t>
      </w:r>
    </w:p>
    <w:p>
      <w:pPr>
        <w:spacing w:line="220" w:lineRule="atLeast"/>
        <w:rPr>
          <w:rFonts w:hint="eastAsia" w:ascii="仿宋" w:hAnsi="仿宋" w:eastAsia="仿宋" w:cs="仿宋"/>
          <w:color w:val="auto"/>
        </w:rPr>
      </w:pPr>
      <w:r>
        <w:rPr>
          <w:rFonts w:hint="eastAsia" w:ascii="仿宋" w:hAnsi="仿宋" w:eastAsia="仿宋" w:cs="仿宋"/>
          <w:color w:val="auto"/>
        </w:rPr>
        <w:t>1.5.12拒绝有关部门的监督检查或者向监督检查部门提供虚假情况；</w:t>
      </w:r>
    </w:p>
    <w:p>
      <w:pPr>
        <w:spacing w:line="220" w:lineRule="atLeast"/>
        <w:rPr>
          <w:rFonts w:hint="eastAsia" w:ascii="仿宋" w:hAnsi="仿宋" w:eastAsia="仿宋" w:cs="仿宋"/>
          <w:color w:val="auto"/>
        </w:rPr>
      </w:pPr>
      <w:r>
        <w:rPr>
          <w:rFonts w:hint="eastAsia" w:ascii="仿宋" w:hAnsi="仿宋" w:eastAsia="仿宋" w:cs="仿宋"/>
          <w:color w:val="auto"/>
        </w:rPr>
        <w:t>1.5.13法律法规规定的其他禁止情形。</w:t>
      </w:r>
    </w:p>
    <w:p>
      <w:pPr>
        <w:spacing w:line="220" w:lineRule="atLeast"/>
        <w:rPr>
          <w:rFonts w:hint="eastAsia" w:ascii="仿宋" w:hAnsi="仿宋" w:eastAsia="仿宋" w:cs="仿宋"/>
          <w:color w:val="auto"/>
        </w:rPr>
      </w:pPr>
      <w:r>
        <w:rPr>
          <w:rFonts w:hint="eastAsia" w:ascii="仿宋" w:hAnsi="仿宋" w:eastAsia="仿宋" w:cs="仿宋"/>
          <w:color w:val="auto"/>
        </w:rPr>
        <w:t>响应供应商有上述情形的，按照规定追究法律责任，其响应文件无效，或取消被确认为中选供应商的资格，或认定中选结果无效。</w:t>
      </w:r>
    </w:p>
    <w:p>
      <w:pPr>
        <w:numPr>
          <w:ilvl w:val="0"/>
          <w:numId w:val="1"/>
        </w:numPr>
        <w:spacing w:line="220" w:lineRule="atLeast"/>
        <w:rPr>
          <w:rFonts w:hint="eastAsia" w:ascii="仿宋" w:hAnsi="仿宋" w:eastAsia="仿宋" w:cs="仿宋"/>
          <w:color w:val="auto"/>
        </w:rPr>
      </w:pPr>
      <w:r>
        <w:rPr>
          <w:rFonts w:hint="eastAsia" w:ascii="仿宋" w:hAnsi="仿宋" w:eastAsia="仿宋" w:cs="仿宋"/>
          <w:b/>
          <w:bCs/>
          <w:color w:val="auto"/>
        </w:rPr>
        <w:t>询价要求</w:t>
      </w:r>
      <w:r>
        <w:rPr>
          <w:rFonts w:hint="eastAsia" w:ascii="仿宋" w:hAnsi="仿宋" w:eastAsia="仿宋" w:cs="仿宋"/>
          <w:color w:val="auto"/>
        </w:rPr>
        <w:br w:type="textWrapping"/>
      </w:r>
      <w:r>
        <w:rPr>
          <w:rFonts w:hint="eastAsia" w:ascii="仿宋" w:hAnsi="仿宋" w:eastAsia="仿宋" w:cs="仿宋"/>
          <w:color w:val="auto"/>
        </w:rPr>
        <w:t>2.1采购内容：</w:t>
      </w:r>
    </w:p>
    <w:tbl>
      <w:tblPr>
        <w:tblStyle w:val="3"/>
        <w:tblW w:w="10962" w:type="dxa"/>
        <w:tblInd w:w="-1319" w:type="dxa"/>
        <w:tblLayout w:type="autofit"/>
        <w:tblCellMar>
          <w:top w:w="0" w:type="dxa"/>
          <w:left w:w="108" w:type="dxa"/>
          <w:bottom w:w="0" w:type="dxa"/>
          <w:right w:w="108" w:type="dxa"/>
        </w:tblCellMar>
      </w:tblPr>
      <w:tblGrid>
        <w:gridCol w:w="452"/>
        <w:gridCol w:w="1721"/>
        <w:gridCol w:w="2345"/>
        <w:gridCol w:w="1426"/>
        <w:gridCol w:w="656"/>
        <w:gridCol w:w="453"/>
        <w:gridCol w:w="1321"/>
        <w:gridCol w:w="1103"/>
        <w:gridCol w:w="1485"/>
      </w:tblGrid>
      <w:tr>
        <w:tblPrEx>
          <w:tblCellMar>
            <w:top w:w="0" w:type="dxa"/>
            <w:left w:w="108" w:type="dxa"/>
            <w:bottom w:w="0" w:type="dxa"/>
            <w:right w:w="108" w:type="dxa"/>
          </w:tblCellMar>
        </w:tblPrEx>
        <w:trPr>
          <w:trHeight w:val="1062" w:hRule="atLeast"/>
        </w:trPr>
        <w:tc>
          <w:tcPr>
            <w:tcW w:w="10962" w:type="dxa"/>
            <w:gridSpan w:val="9"/>
            <w:tcBorders>
              <w:top w:val="nil"/>
              <w:left w:val="nil"/>
              <w:bottom w:val="nil"/>
              <w:right w:val="nil"/>
            </w:tcBorders>
            <w:shd w:val="clear" w:color="auto" w:fill="auto"/>
            <w:vAlign w:val="center"/>
          </w:tcPr>
          <w:p>
            <w:pPr>
              <w:adjustRightInd/>
              <w:snapToGrid/>
              <w:spacing w:after="0"/>
              <w:jc w:val="center"/>
              <w:rPr>
                <w:rFonts w:hint="eastAsia" w:ascii="仿宋" w:hAnsi="仿宋" w:eastAsia="仿宋" w:cs="仿宋"/>
                <w:color w:val="auto"/>
                <w:sz w:val="28"/>
                <w:szCs w:val="28"/>
              </w:rPr>
            </w:pPr>
            <w:r>
              <w:rPr>
                <w:rFonts w:hint="eastAsia" w:ascii="仿宋" w:hAnsi="仿宋" w:eastAsia="仿宋" w:cs="仿宋"/>
                <w:color w:val="auto"/>
                <w:sz w:val="28"/>
                <w:szCs w:val="28"/>
              </w:rPr>
              <w:t>资阳市精神病医院党建阵地设计制作安装服务采购项目清单</w:t>
            </w:r>
          </w:p>
        </w:tc>
      </w:tr>
      <w:tr>
        <w:tblPrEx>
          <w:tblCellMar>
            <w:top w:w="0" w:type="dxa"/>
            <w:left w:w="108" w:type="dxa"/>
            <w:bottom w:w="0" w:type="dxa"/>
            <w:right w:w="108" w:type="dxa"/>
          </w:tblCellMar>
        </w:tblPrEx>
        <w:trPr>
          <w:trHeight w:val="799"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b/>
                <w:bCs/>
                <w:color w:val="auto"/>
              </w:rPr>
            </w:pPr>
            <w:bookmarkStart w:id="6" w:name="_GoBack" w:colFirst="3" w:colLast="3"/>
            <w:r>
              <w:rPr>
                <w:rFonts w:hint="eastAsia" w:ascii="仿宋" w:hAnsi="仿宋" w:eastAsia="仿宋" w:cs="仿宋"/>
                <w:b/>
                <w:bCs/>
                <w:color w:val="auto"/>
              </w:rPr>
              <w:t>序号</w:t>
            </w:r>
          </w:p>
        </w:tc>
        <w:tc>
          <w:tcPr>
            <w:tcW w:w="1721" w:type="dxa"/>
            <w:tcBorders>
              <w:top w:val="single" w:color="000000" w:sz="4" w:space="0"/>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b/>
                <w:bCs/>
                <w:color w:val="auto"/>
              </w:rPr>
            </w:pPr>
            <w:r>
              <w:rPr>
                <w:rFonts w:hint="eastAsia" w:ascii="仿宋" w:hAnsi="仿宋" w:eastAsia="仿宋" w:cs="仿宋"/>
                <w:b/>
                <w:bCs/>
                <w:color w:val="auto"/>
              </w:rPr>
              <w:t>项目清单</w:t>
            </w:r>
          </w:p>
        </w:tc>
        <w:tc>
          <w:tcPr>
            <w:tcW w:w="2345" w:type="dxa"/>
            <w:tcBorders>
              <w:top w:val="single" w:color="000000" w:sz="4" w:space="0"/>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b/>
                <w:bCs/>
                <w:color w:val="auto"/>
              </w:rPr>
            </w:pPr>
            <w:r>
              <w:rPr>
                <w:rFonts w:hint="eastAsia" w:ascii="仿宋" w:hAnsi="仿宋" w:eastAsia="仿宋" w:cs="仿宋"/>
                <w:b/>
                <w:bCs/>
                <w:color w:val="auto"/>
              </w:rPr>
              <w:t>技术及材质要求</w:t>
            </w:r>
          </w:p>
        </w:tc>
        <w:tc>
          <w:tcPr>
            <w:tcW w:w="1426" w:type="dxa"/>
            <w:tcBorders>
              <w:top w:val="single" w:color="000000" w:sz="4" w:space="0"/>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b/>
                <w:bCs/>
                <w:color w:val="auto"/>
              </w:rPr>
            </w:pPr>
            <w:r>
              <w:rPr>
                <w:rFonts w:hint="eastAsia" w:ascii="仿宋" w:hAnsi="仿宋" w:eastAsia="仿宋" w:cs="仿宋"/>
                <w:b/>
                <w:bCs/>
                <w:color w:val="auto"/>
              </w:rPr>
              <w:t>规格</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b/>
                <w:bCs/>
                <w:color w:val="auto"/>
              </w:rPr>
            </w:pPr>
            <w:r>
              <w:rPr>
                <w:rFonts w:hint="eastAsia" w:ascii="仿宋" w:hAnsi="仿宋" w:eastAsia="仿宋" w:cs="仿宋"/>
                <w:b/>
                <w:bCs/>
                <w:color w:val="auto"/>
              </w:rPr>
              <w:t>数量</w:t>
            </w:r>
          </w:p>
        </w:tc>
        <w:tc>
          <w:tcPr>
            <w:tcW w:w="453" w:type="dxa"/>
            <w:tcBorders>
              <w:top w:val="single" w:color="000000" w:sz="4" w:space="0"/>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b/>
                <w:bCs/>
                <w:color w:val="auto"/>
              </w:rPr>
            </w:pPr>
            <w:r>
              <w:rPr>
                <w:rFonts w:hint="eastAsia" w:ascii="仿宋" w:hAnsi="仿宋" w:eastAsia="仿宋" w:cs="仿宋"/>
                <w:b/>
                <w:bCs/>
                <w:color w:val="auto"/>
              </w:rPr>
              <w:t>单位</w:t>
            </w:r>
          </w:p>
        </w:tc>
        <w:tc>
          <w:tcPr>
            <w:tcW w:w="1321" w:type="dxa"/>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b/>
                <w:bCs/>
                <w:color w:val="auto"/>
              </w:rPr>
            </w:pPr>
            <w:r>
              <w:rPr>
                <w:rFonts w:hint="eastAsia" w:ascii="仿宋" w:hAnsi="仿宋" w:eastAsia="仿宋" w:cs="仿宋"/>
                <w:b/>
                <w:bCs/>
                <w:color w:val="auto"/>
              </w:rPr>
              <w:t>单价最高限价（元）</w:t>
            </w:r>
          </w:p>
        </w:tc>
        <w:tc>
          <w:tcPr>
            <w:tcW w:w="1103" w:type="dxa"/>
            <w:tcBorders>
              <w:top w:val="single" w:color="000000" w:sz="4" w:space="0"/>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b/>
                <w:bCs/>
                <w:color w:val="auto"/>
              </w:rPr>
            </w:pPr>
            <w:r>
              <w:rPr>
                <w:rFonts w:hint="eastAsia" w:ascii="仿宋" w:hAnsi="仿宋" w:eastAsia="仿宋" w:cs="仿宋"/>
                <w:b/>
                <w:bCs/>
                <w:color w:val="auto"/>
              </w:rPr>
              <w:t>总价最高限价(元)</w:t>
            </w:r>
          </w:p>
        </w:tc>
        <w:tc>
          <w:tcPr>
            <w:tcW w:w="1485" w:type="dxa"/>
            <w:tcBorders>
              <w:top w:val="single" w:color="000000" w:sz="4" w:space="0"/>
              <w:left w:val="nil"/>
              <w:bottom w:val="nil"/>
              <w:right w:val="single" w:color="000000" w:sz="4" w:space="0"/>
            </w:tcBorders>
            <w:shd w:val="clear" w:color="auto" w:fill="auto"/>
            <w:noWrap/>
            <w:vAlign w:val="center"/>
          </w:tcPr>
          <w:p>
            <w:pPr>
              <w:adjustRightInd/>
              <w:snapToGrid/>
              <w:spacing w:after="0"/>
              <w:jc w:val="center"/>
              <w:rPr>
                <w:rFonts w:hint="eastAsia" w:ascii="仿宋" w:hAnsi="仿宋" w:eastAsia="仿宋" w:cs="仿宋"/>
                <w:b/>
                <w:bCs/>
                <w:color w:val="auto"/>
              </w:rPr>
            </w:pPr>
            <w:r>
              <w:rPr>
                <w:rFonts w:hint="eastAsia" w:ascii="仿宋" w:hAnsi="仿宋" w:eastAsia="仿宋" w:cs="仿宋"/>
                <w:b/>
                <w:bCs/>
                <w:color w:val="auto"/>
              </w:rPr>
              <w:t>备注</w:t>
            </w:r>
          </w:p>
        </w:tc>
      </w:tr>
      <w:bookmarkEnd w:id="6"/>
      <w:tr>
        <w:tblPrEx>
          <w:tblCellMar>
            <w:top w:w="0" w:type="dxa"/>
            <w:left w:w="108" w:type="dxa"/>
            <w:bottom w:w="0" w:type="dxa"/>
            <w:right w:w="108" w:type="dxa"/>
          </w:tblCellMar>
        </w:tblPrEx>
        <w:trPr>
          <w:trHeight w:val="1002" w:hRule="atLeast"/>
        </w:trPr>
        <w:tc>
          <w:tcPr>
            <w:tcW w:w="452"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1</w:t>
            </w:r>
          </w:p>
        </w:tc>
        <w:tc>
          <w:tcPr>
            <w:tcW w:w="1721"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一楼电梯正对初心领航兴医强医文化墙</w:t>
            </w:r>
          </w:p>
        </w:tc>
        <w:tc>
          <w:tcPr>
            <w:tcW w:w="2345"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1.5cmPVC板+3mm水晶板UV喷印+异形雕刻</w:t>
            </w:r>
          </w:p>
        </w:tc>
        <w:tc>
          <w:tcPr>
            <w:tcW w:w="1426"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4*1.3m</w:t>
            </w:r>
          </w:p>
        </w:tc>
        <w:tc>
          <w:tcPr>
            <w:tcW w:w="656"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5.2</w:t>
            </w:r>
          </w:p>
        </w:tc>
        <w:tc>
          <w:tcPr>
            <w:tcW w:w="453"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w:t>
            </w:r>
          </w:p>
        </w:tc>
        <w:tc>
          <w:tcPr>
            <w:tcW w:w="1321"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580</w:t>
            </w:r>
          </w:p>
        </w:tc>
        <w:tc>
          <w:tcPr>
            <w:tcW w:w="1103" w:type="dxa"/>
            <w:tcBorders>
              <w:top w:val="nil"/>
              <w:left w:val="nil"/>
              <w:bottom w:val="single" w:color="000000" w:sz="4" w:space="0"/>
              <w:right w:val="nil"/>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 xml:space="preserve">3016.00 </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drawing>
                <wp:anchor distT="0" distB="0" distL="114300" distR="114300" simplePos="0" relativeHeight="251659264" behindDoc="0" locked="0" layoutInCell="1" allowOverlap="1">
                  <wp:simplePos x="0" y="0"/>
                  <wp:positionH relativeFrom="column">
                    <wp:posOffset>9525</wp:posOffset>
                  </wp:positionH>
                  <wp:positionV relativeFrom="paragraph">
                    <wp:posOffset>133350</wp:posOffset>
                  </wp:positionV>
                  <wp:extent cx="981075" cy="371475"/>
                  <wp:effectExtent l="0" t="0" r="0" b="0"/>
                  <wp:wrapNone/>
                  <wp:docPr id="2" name="ID_19C912BD6A9D40B1A6142ED2E07BBA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_19C912BD6A9D40B1A6142ED2E07BBA5F"/>
                          <pic:cNvPicPr>
                            <a:picLocks noChangeAspect="1"/>
                          </pic:cNvPicPr>
                        </pic:nvPicPr>
                        <pic:blipFill>
                          <a:blip r:embed="rId5" cstate="print"/>
                          <a:stretch>
                            <a:fillRect/>
                          </a:stretch>
                        </pic:blipFill>
                        <pic:spPr>
                          <a:xfrm>
                            <a:off x="0" y="0"/>
                            <a:ext cx="969010" cy="356870"/>
                          </a:xfrm>
                          <a:prstGeom prst="rect">
                            <a:avLst/>
                          </a:prstGeom>
                          <a:noFill/>
                          <a:ln w="9525">
                            <a:noFill/>
                          </a:ln>
                        </pic:spPr>
                      </pic:pic>
                    </a:graphicData>
                  </a:graphic>
                </wp:anchor>
              </w:drawing>
            </w:r>
          </w:p>
        </w:tc>
      </w:tr>
      <w:tr>
        <w:tblPrEx>
          <w:tblCellMar>
            <w:top w:w="0" w:type="dxa"/>
            <w:left w:w="108" w:type="dxa"/>
            <w:bottom w:w="0" w:type="dxa"/>
            <w:right w:w="108" w:type="dxa"/>
          </w:tblCellMar>
        </w:tblPrEx>
        <w:trPr>
          <w:trHeight w:val="1002" w:hRule="atLeast"/>
        </w:trPr>
        <w:tc>
          <w:tcPr>
            <w:tcW w:w="452"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2</w:t>
            </w:r>
          </w:p>
        </w:tc>
        <w:tc>
          <w:tcPr>
            <w:tcW w:w="1721"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一楼走廊党建引领照片墙</w:t>
            </w:r>
          </w:p>
        </w:tc>
        <w:tc>
          <w:tcPr>
            <w:tcW w:w="2345"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1.5cmPVC板+3mm水晶板UV喷印+异形雕刻+亚克力盒子</w:t>
            </w:r>
          </w:p>
        </w:tc>
        <w:tc>
          <w:tcPr>
            <w:tcW w:w="1426"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2.1*1.55m</w:t>
            </w:r>
          </w:p>
        </w:tc>
        <w:tc>
          <w:tcPr>
            <w:tcW w:w="656"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3.26</w:t>
            </w:r>
          </w:p>
        </w:tc>
        <w:tc>
          <w:tcPr>
            <w:tcW w:w="453"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w:t>
            </w:r>
          </w:p>
        </w:tc>
        <w:tc>
          <w:tcPr>
            <w:tcW w:w="1321"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730</w:t>
            </w:r>
          </w:p>
        </w:tc>
        <w:tc>
          <w:tcPr>
            <w:tcW w:w="1103" w:type="dxa"/>
            <w:tcBorders>
              <w:top w:val="nil"/>
              <w:left w:val="nil"/>
              <w:bottom w:val="single" w:color="000000" w:sz="4" w:space="0"/>
              <w:right w:val="nil"/>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 xml:space="preserve">2379.80 </w:t>
            </w:r>
          </w:p>
        </w:tc>
        <w:tc>
          <w:tcPr>
            <w:tcW w:w="1485"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drawing>
                <wp:anchor distT="0" distB="0" distL="114300" distR="114300" simplePos="0" relativeHeight="251659264" behindDoc="0" locked="0" layoutInCell="1" allowOverlap="1">
                  <wp:simplePos x="0" y="0"/>
                  <wp:positionH relativeFrom="column">
                    <wp:posOffset>76200</wp:posOffset>
                  </wp:positionH>
                  <wp:positionV relativeFrom="paragraph">
                    <wp:posOffset>9525</wp:posOffset>
                  </wp:positionV>
                  <wp:extent cx="857250" cy="619125"/>
                  <wp:effectExtent l="0" t="0" r="0" b="0"/>
                  <wp:wrapNone/>
                  <wp:docPr id="3" name="ID_C2DC1E1086CF42D0BC2A2DCDF01758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_C2DC1E1086CF42D0BC2A2DCDF01758CD"/>
                          <pic:cNvPicPr>
                            <a:picLocks noChangeAspect="1"/>
                          </pic:cNvPicPr>
                        </pic:nvPicPr>
                        <pic:blipFill>
                          <a:blip r:embed="rId6" cstate="print"/>
                          <a:stretch>
                            <a:fillRect/>
                          </a:stretch>
                        </pic:blipFill>
                        <pic:spPr>
                          <a:xfrm>
                            <a:off x="0" y="0"/>
                            <a:ext cx="847090" cy="604520"/>
                          </a:xfrm>
                          <a:prstGeom prst="rect">
                            <a:avLst/>
                          </a:prstGeom>
                          <a:noFill/>
                          <a:ln w="9525">
                            <a:noFill/>
                          </a:ln>
                        </pic:spPr>
                      </pic:pic>
                    </a:graphicData>
                  </a:graphic>
                </wp:anchor>
              </w:drawing>
            </w:r>
          </w:p>
        </w:tc>
      </w:tr>
      <w:tr>
        <w:tblPrEx>
          <w:tblCellMar>
            <w:top w:w="0" w:type="dxa"/>
            <w:left w:w="108" w:type="dxa"/>
            <w:bottom w:w="0" w:type="dxa"/>
            <w:right w:w="108" w:type="dxa"/>
          </w:tblCellMar>
        </w:tblPrEx>
        <w:trPr>
          <w:trHeight w:val="1002" w:hRule="atLeast"/>
        </w:trPr>
        <w:tc>
          <w:tcPr>
            <w:tcW w:w="452"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3</w:t>
            </w:r>
          </w:p>
        </w:tc>
        <w:tc>
          <w:tcPr>
            <w:tcW w:w="1721"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一楼走廊党员风采照片墙</w:t>
            </w:r>
          </w:p>
        </w:tc>
        <w:tc>
          <w:tcPr>
            <w:tcW w:w="2345"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1.5cmPVC板+3mm水晶板UV喷印+异形雕刻+亚克力盒子</w:t>
            </w:r>
          </w:p>
        </w:tc>
        <w:tc>
          <w:tcPr>
            <w:tcW w:w="1426"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3*1.5m</w:t>
            </w:r>
          </w:p>
        </w:tc>
        <w:tc>
          <w:tcPr>
            <w:tcW w:w="656"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4.5</w:t>
            </w:r>
          </w:p>
        </w:tc>
        <w:tc>
          <w:tcPr>
            <w:tcW w:w="453"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w:t>
            </w:r>
          </w:p>
        </w:tc>
        <w:tc>
          <w:tcPr>
            <w:tcW w:w="1321"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730</w:t>
            </w:r>
          </w:p>
        </w:tc>
        <w:tc>
          <w:tcPr>
            <w:tcW w:w="1103" w:type="dxa"/>
            <w:tcBorders>
              <w:top w:val="nil"/>
              <w:left w:val="nil"/>
              <w:bottom w:val="single" w:color="000000" w:sz="4" w:space="0"/>
              <w:right w:val="nil"/>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 xml:space="preserve">3285.00 </w:t>
            </w:r>
          </w:p>
        </w:tc>
        <w:tc>
          <w:tcPr>
            <w:tcW w:w="1485"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drawing>
                <wp:anchor distT="0" distB="0" distL="114300" distR="114300" simplePos="0" relativeHeight="251659264" behindDoc="0" locked="0" layoutInCell="1" allowOverlap="1">
                  <wp:simplePos x="0" y="0"/>
                  <wp:positionH relativeFrom="column">
                    <wp:posOffset>9525</wp:posOffset>
                  </wp:positionH>
                  <wp:positionV relativeFrom="paragraph">
                    <wp:posOffset>66675</wp:posOffset>
                  </wp:positionV>
                  <wp:extent cx="981075" cy="514350"/>
                  <wp:effectExtent l="0" t="0" r="0" b="0"/>
                  <wp:wrapNone/>
                  <wp:docPr id="4" name="ID_EA8118218DE94C5A904847824231A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_EA8118218DE94C5A904847824231A332"/>
                          <pic:cNvPicPr>
                            <a:picLocks noChangeAspect="1"/>
                          </pic:cNvPicPr>
                        </pic:nvPicPr>
                        <pic:blipFill>
                          <a:blip r:embed="rId7" cstate="print"/>
                          <a:stretch>
                            <a:fillRect/>
                          </a:stretch>
                        </pic:blipFill>
                        <pic:spPr>
                          <a:xfrm>
                            <a:off x="0" y="0"/>
                            <a:ext cx="969010" cy="502285"/>
                          </a:xfrm>
                          <a:prstGeom prst="rect">
                            <a:avLst/>
                          </a:prstGeom>
                          <a:noFill/>
                          <a:ln w="9525">
                            <a:noFill/>
                          </a:ln>
                        </pic:spPr>
                      </pic:pic>
                    </a:graphicData>
                  </a:graphic>
                </wp:anchor>
              </w:drawing>
            </w:r>
          </w:p>
        </w:tc>
      </w:tr>
      <w:tr>
        <w:tblPrEx>
          <w:tblCellMar>
            <w:top w:w="0" w:type="dxa"/>
            <w:left w:w="108" w:type="dxa"/>
            <w:bottom w:w="0" w:type="dxa"/>
            <w:right w:w="108" w:type="dxa"/>
          </w:tblCellMar>
        </w:tblPrEx>
        <w:trPr>
          <w:trHeight w:val="1002" w:hRule="atLeast"/>
        </w:trPr>
        <w:tc>
          <w:tcPr>
            <w:tcW w:w="452"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4</w:t>
            </w:r>
          </w:p>
        </w:tc>
        <w:tc>
          <w:tcPr>
            <w:tcW w:w="1721"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一至三楼梯步学党史文化墙标题</w:t>
            </w:r>
          </w:p>
        </w:tc>
        <w:tc>
          <w:tcPr>
            <w:tcW w:w="2345"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1.5cmPVC板+3mm水晶板UV喷印+异形雕刻</w:t>
            </w:r>
          </w:p>
        </w:tc>
        <w:tc>
          <w:tcPr>
            <w:tcW w:w="1426"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1.6*1.5m</w:t>
            </w:r>
          </w:p>
        </w:tc>
        <w:tc>
          <w:tcPr>
            <w:tcW w:w="656"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2.4</w:t>
            </w:r>
          </w:p>
        </w:tc>
        <w:tc>
          <w:tcPr>
            <w:tcW w:w="453"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w:t>
            </w:r>
          </w:p>
        </w:tc>
        <w:tc>
          <w:tcPr>
            <w:tcW w:w="1321"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580</w:t>
            </w:r>
          </w:p>
        </w:tc>
        <w:tc>
          <w:tcPr>
            <w:tcW w:w="1103" w:type="dxa"/>
            <w:tcBorders>
              <w:top w:val="nil"/>
              <w:left w:val="nil"/>
              <w:bottom w:val="single" w:color="000000" w:sz="4" w:space="0"/>
              <w:right w:val="nil"/>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 xml:space="preserve">1392.00 </w:t>
            </w:r>
          </w:p>
        </w:tc>
        <w:tc>
          <w:tcPr>
            <w:tcW w:w="1485"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drawing>
                <wp:anchor distT="0" distB="0" distL="114300" distR="114300" simplePos="0" relativeHeight="251659264" behindDoc="0" locked="0" layoutInCell="1" allowOverlap="1">
                  <wp:simplePos x="0" y="0"/>
                  <wp:positionH relativeFrom="column">
                    <wp:posOffset>266700</wp:posOffset>
                  </wp:positionH>
                  <wp:positionV relativeFrom="paragraph">
                    <wp:posOffset>9525</wp:posOffset>
                  </wp:positionV>
                  <wp:extent cx="476250" cy="619125"/>
                  <wp:effectExtent l="0" t="0" r="0" b="0"/>
                  <wp:wrapNone/>
                  <wp:docPr id="5" name="ID_124CFBC5388D4F3BBA9BA0A9B04431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_124CFBC5388D4F3BBA9BA0A9B044317B"/>
                          <pic:cNvPicPr>
                            <a:picLocks noChangeAspect="1"/>
                          </pic:cNvPicPr>
                        </pic:nvPicPr>
                        <pic:blipFill>
                          <a:blip r:embed="rId8" cstate="print"/>
                          <a:stretch>
                            <a:fillRect/>
                          </a:stretch>
                        </pic:blipFill>
                        <pic:spPr>
                          <a:xfrm>
                            <a:off x="0" y="0"/>
                            <a:ext cx="471170" cy="604520"/>
                          </a:xfrm>
                          <a:prstGeom prst="rect">
                            <a:avLst/>
                          </a:prstGeom>
                          <a:noFill/>
                          <a:ln w="9525">
                            <a:noFill/>
                          </a:ln>
                        </pic:spPr>
                      </pic:pic>
                    </a:graphicData>
                  </a:graphic>
                </wp:anchor>
              </w:drawing>
            </w:r>
          </w:p>
        </w:tc>
      </w:tr>
      <w:tr>
        <w:tblPrEx>
          <w:tblCellMar>
            <w:top w:w="0" w:type="dxa"/>
            <w:left w:w="108" w:type="dxa"/>
            <w:bottom w:w="0" w:type="dxa"/>
            <w:right w:w="108" w:type="dxa"/>
          </w:tblCellMar>
        </w:tblPrEx>
        <w:trPr>
          <w:trHeight w:val="1002" w:hRule="atLeast"/>
        </w:trPr>
        <w:tc>
          <w:tcPr>
            <w:tcW w:w="452"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5</w:t>
            </w:r>
          </w:p>
        </w:tc>
        <w:tc>
          <w:tcPr>
            <w:tcW w:w="1721"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一至三楼梯步学党史文化墙内容</w:t>
            </w:r>
          </w:p>
        </w:tc>
        <w:tc>
          <w:tcPr>
            <w:tcW w:w="2345"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1.5cmPVC板+3mm水晶板UV喷印+异形雕刻</w:t>
            </w:r>
          </w:p>
        </w:tc>
        <w:tc>
          <w:tcPr>
            <w:tcW w:w="1426"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0.8*1.2m*10张</w:t>
            </w:r>
          </w:p>
        </w:tc>
        <w:tc>
          <w:tcPr>
            <w:tcW w:w="656"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9.6</w:t>
            </w:r>
          </w:p>
        </w:tc>
        <w:tc>
          <w:tcPr>
            <w:tcW w:w="453"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w:t>
            </w:r>
          </w:p>
        </w:tc>
        <w:tc>
          <w:tcPr>
            <w:tcW w:w="1321"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580</w:t>
            </w:r>
          </w:p>
        </w:tc>
        <w:tc>
          <w:tcPr>
            <w:tcW w:w="1103" w:type="dxa"/>
            <w:tcBorders>
              <w:top w:val="nil"/>
              <w:left w:val="nil"/>
              <w:bottom w:val="single" w:color="000000" w:sz="4" w:space="0"/>
              <w:right w:val="nil"/>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 xml:space="preserve">5568.00 </w:t>
            </w:r>
          </w:p>
        </w:tc>
        <w:tc>
          <w:tcPr>
            <w:tcW w:w="1485"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drawing>
                <wp:anchor distT="0" distB="0" distL="114300" distR="114300" simplePos="0" relativeHeight="251659264" behindDoc="0" locked="0" layoutInCell="1" allowOverlap="1">
                  <wp:simplePos x="0" y="0"/>
                  <wp:positionH relativeFrom="column">
                    <wp:posOffset>266700</wp:posOffset>
                  </wp:positionH>
                  <wp:positionV relativeFrom="paragraph">
                    <wp:posOffset>9525</wp:posOffset>
                  </wp:positionV>
                  <wp:extent cx="466725" cy="619125"/>
                  <wp:effectExtent l="0" t="0" r="0" b="0"/>
                  <wp:wrapNone/>
                  <wp:docPr id="6" name="ID_B939986D25CF4384A806255DCBE12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D_B939986D25CF4384A806255DCBE12A38"/>
                          <pic:cNvPicPr>
                            <a:picLocks noChangeAspect="1"/>
                          </pic:cNvPicPr>
                        </pic:nvPicPr>
                        <pic:blipFill>
                          <a:blip r:embed="rId9" cstate="print"/>
                          <a:stretch>
                            <a:fillRect/>
                          </a:stretch>
                        </pic:blipFill>
                        <pic:spPr>
                          <a:xfrm>
                            <a:off x="0" y="0"/>
                            <a:ext cx="449580" cy="605155"/>
                          </a:xfrm>
                          <a:prstGeom prst="rect">
                            <a:avLst/>
                          </a:prstGeom>
                          <a:noFill/>
                          <a:ln w="9525">
                            <a:noFill/>
                          </a:ln>
                        </pic:spPr>
                      </pic:pic>
                    </a:graphicData>
                  </a:graphic>
                </wp:anchor>
              </w:drawing>
            </w:r>
          </w:p>
        </w:tc>
      </w:tr>
      <w:tr>
        <w:tblPrEx>
          <w:tblCellMar>
            <w:top w:w="0" w:type="dxa"/>
            <w:left w:w="108" w:type="dxa"/>
            <w:bottom w:w="0" w:type="dxa"/>
            <w:right w:w="108" w:type="dxa"/>
          </w:tblCellMar>
        </w:tblPrEx>
        <w:trPr>
          <w:trHeight w:val="1002" w:hRule="atLeast"/>
        </w:trPr>
        <w:tc>
          <w:tcPr>
            <w:tcW w:w="452"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6</w:t>
            </w:r>
          </w:p>
        </w:tc>
        <w:tc>
          <w:tcPr>
            <w:tcW w:w="1721"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一至三楼梯步学党史文化墙长征精神</w:t>
            </w:r>
          </w:p>
        </w:tc>
        <w:tc>
          <w:tcPr>
            <w:tcW w:w="2345"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1.5cmPVC板+3mm水晶板UV喷印+异形雕刻</w:t>
            </w:r>
          </w:p>
        </w:tc>
        <w:tc>
          <w:tcPr>
            <w:tcW w:w="1426"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2.3*2m</w:t>
            </w:r>
          </w:p>
        </w:tc>
        <w:tc>
          <w:tcPr>
            <w:tcW w:w="656"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4.6</w:t>
            </w:r>
          </w:p>
        </w:tc>
        <w:tc>
          <w:tcPr>
            <w:tcW w:w="453"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w:t>
            </w:r>
          </w:p>
        </w:tc>
        <w:tc>
          <w:tcPr>
            <w:tcW w:w="1321"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580</w:t>
            </w:r>
          </w:p>
        </w:tc>
        <w:tc>
          <w:tcPr>
            <w:tcW w:w="1103" w:type="dxa"/>
            <w:tcBorders>
              <w:top w:val="nil"/>
              <w:left w:val="nil"/>
              <w:bottom w:val="single" w:color="000000" w:sz="4" w:space="0"/>
              <w:right w:val="nil"/>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 xml:space="preserve">2668.00 </w:t>
            </w:r>
          </w:p>
        </w:tc>
        <w:tc>
          <w:tcPr>
            <w:tcW w:w="1485"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drawing>
                <wp:anchor distT="0" distB="0" distL="114300" distR="114300" simplePos="0" relativeHeight="251659264" behindDoc="0" locked="0" layoutInCell="1" allowOverlap="1">
                  <wp:simplePos x="0" y="0"/>
                  <wp:positionH relativeFrom="column">
                    <wp:posOffset>9525</wp:posOffset>
                  </wp:positionH>
                  <wp:positionV relativeFrom="paragraph">
                    <wp:posOffset>66675</wp:posOffset>
                  </wp:positionV>
                  <wp:extent cx="981075" cy="514350"/>
                  <wp:effectExtent l="0" t="0" r="0" b="0"/>
                  <wp:wrapNone/>
                  <wp:docPr id="7" name="ID_56054B2860EB4FC4A9E1308BEFB85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D_56054B2860EB4FC4A9E1308BEFB85861"/>
                          <pic:cNvPicPr>
                            <a:picLocks noChangeAspect="1"/>
                          </pic:cNvPicPr>
                        </pic:nvPicPr>
                        <pic:blipFill>
                          <a:blip r:embed="rId10" cstate="print"/>
                          <a:stretch>
                            <a:fillRect/>
                          </a:stretch>
                        </pic:blipFill>
                        <pic:spPr>
                          <a:xfrm>
                            <a:off x="0" y="0"/>
                            <a:ext cx="969010" cy="506095"/>
                          </a:xfrm>
                          <a:prstGeom prst="rect">
                            <a:avLst/>
                          </a:prstGeom>
                          <a:noFill/>
                          <a:ln w="9525">
                            <a:noFill/>
                          </a:ln>
                        </pic:spPr>
                      </pic:pic>
                    </a:graphicData>
                  </a:graphic>
                </wp:anchor>
              </w:drawing>
            </w:r>
          </w:p>
        </w:tc>
      </w:tr>
      <w:tr>
        <w:tblPrEx>
          <w:tblCellMar>
            <w:top w:w="0" w:type="dxa"/>
            <w:left w:w="108" w:type="dxa"/>
            <w:bottom w:w="0" w:type="dxa"/>
            <w:right w:w="108" w:type="dxa"/>
          </w:tblCellMar>
        </w:tblPrEx>
        <w:trPr>
          <w:trHeight w:val="1002" w:hRule="atLeast"/>
        </w:trPr>
        <w:tc>
          <w:tcPr>
            <w:tcW w:w="452"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7</w:t>
            </w:r>
          </w:p>
        </w:tc>
        <w:tc>
          <w:tcPr>
            <w:tcW w:w="1721"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三至四楼梯步倡导廉洁行医文化墙</w:t>
            </w:r>
          </w:p>
        </w:tc>
        <w:tc>
          <w:tcPr>
            <w:tcW w:w="2345"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1.5cmPVC板+3mm水晶板UV喷印+异形雕刻</w:t>
            </w:r>
          </w:p>
        </w:tc>
        <w:tc>
          <w:tcPr>
            <w:tcW w:w="1426"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2.4*1.2m</w:t>
            </w:r>
          </w:p>
        </w:tc>
        <w:tc>
          <w:tcPr>
            <w:tcW w:w="656"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2.88</w:t>
            </w:r>
          </w:p>
        </w:tc>
        <w:tc>
          <w:tcPr>
            <w:tcW w:w="453"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w:t>
            </w:r>
          </w:p>
        </w:tc>
        <w:tc>
          <w:tcPr>
            <w:tcW w:w="1321"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580</w:t>
            </w:r>
          </w:p>
        </w:tc>
        <w:tc>
          <w:tcPr>
            <w:tcW w:w="1103" w:type="dxa"/>
            <w:tcBorders>
              <w:top w:val="nil"/>
              <w:left w:val="nil"/>
              <w:bottom w:val="single" w:color="000000" w:sz="4" w:space="0"/>
              <w:right w:val="nil"/>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 xml:space="preserve">1670.40 </w:t>
            </w:r>
          </w:p>
        </w:tc>
        <w:tc>
          <w:tcPr>
            <w:tcW w:w="1485"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drawing>
                <wp:anchor distT="0" distB="0" distL="114300" distR="114300" simplePos="0" relativeHeight="251659264" behindDoc="0" locked="0" layoutInCell="1" allowOverlap="1">
                  <wp:simplePos x="0" y="0"/>
                  <wp:positionH relativeFrom="column">
                    <wp:posOffset>133350</wp:posOffset>
                  </wp:positionH>
                  <wp:positionV relativeFrom="paragraph">
                    <wp:posOffset>9525</wp:posOffset>
                  </wp:positionV>
                  <wp:extent cx="733425" cy="619125"/>
                  <wp:effectExtent l="0" t="0" r="0" b="0"/>
                  <wp:wrapNone/>
                  <wp:docPr id="8" name="ID_90C6472AF08647F7B132E105E4FD28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D_90C6472AF08647F7B132E105E4FD28B2"/>
                          <pic:cNvPicPr>
                            <a:picLocks noChangeAspect="1"/>
                          </pic:cNvPicPr>
                        </pic:nvPicPr>
                        <pic:blipFill>
                          <a:blip r:embed="rId11" cstate="print"/>
                          <a:stretch>
                            <a:fillRect/>
                          </a:stretch>
                        </pic:blipFill>
                        <pic:spPr>
                          <a:xfrm>
                            <a:off x="0" y="0"/>
                            <a:ext cx="720725" cy="604520"/>
                          </a:xfrm>
                          <a:prstGeom prst="rect">
                            <a:avLst/>
                          </a:prstGeom>
                          <a:noFill/>
                          <a:ln w="9525">
                            <a:noFill/>
                          </a:ln>
                        </pic:spPr>
                      </pic:pic>
                    </a:graphicData>
                  </a:graphic>
                </wp:anchor>
              </w:drawing>
            </w:r>
          </w:p>
        </w:tc>
      </w:tr>
      <w:tr>
        <w:trPr>
          <w:trHeight w:val="1002" w:hRule="atLeast"/>
        </w:trPr>
        <w:tc>
          <w:tcPr>
            <w:tcW w:w="452"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8</w:t>
            </w:r>
          </w:p>
        </w:tc>
        <w:tc>
          <w:tcPr>
            <w:tcW w:w="1721"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三楼电梯正对廉洁从业九项准则文化墙</w:t>
            </w:r>
          </w:p>
        </w:tc>
        <w:tc>
          <w:tcPr>
            <w:tcW w:w="2345"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1.5cmPVC板+3mm水晶板UV喷印+异形雕刻</w:t>
            </w:r>
          </w:p>
        </w:tc>
        <w:tc>
          <w:tcPr>
            <w:tcW w:w="1426"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3.6*1.5m</w:t>
            </w:r>
          </w:p>
        </w:tc>
        <w:tc>
          <w:tcPr>
            <w:tcW w:w="656"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5.4</w:t>
            </w:r>
          </w:p>
        </w:tc>
        <w:tc>
          <w:tcPr>
            <w:tcW w:w="453"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w:t>
            </w:r>
          </w:p>
        </w:tc>
        <w:tc>
          <w:tcPr>
            <w:tcW w:w="1321"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580</w:t>
            </w:r>
          </w:p>
        </w:tc>
        <w:tc>
          <w:tcPr>
            <w:tcW w:w="1103" w:type="dxa"/>
            <w:tcBorders>
              <w:top w:val="nil"/>
              <w:left w:val="nil"/>
              <w:bottom w:val="single" w:color="000000" w:sz="4" w:space="0"/>
              <w:right w:val="nil"/>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 xml:space="preserve">3132.00 </w:t>
            </w:r>
          </w:p>
        </w:tc>
        <w:tc>
          <w:tcPr>
            <w:tcW w:w="1485" w:type="dxa"/>
            <w:tcBorders>
              <w:top w:val="nil"/>
              <w:left w:val="single" w:color="auto" w:sz="4" w:space="0"/>
              <w:bottom w:val="nil"/>
              <w:right w:val="single" w:color="auto"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drawing>
                <wp:anchor distT="0" distB="0" distL="114300" distR="114300" simplePos="0" relativeHeight="251659264" behindDoc="0" locked="0" layoutInCell="1" allowOverlap="1">
                  <wp:simplePos x="0" y="0"/>
                  <wp:positionH relativeFrom="column">
                    <wp:posOffset>9525</wp:posOffset>
                  </wp:positionH>
                  <wp:positionV relativeFrom="paragraph">
                    <wp:posOffset>104775</wp:posOffset>
                  </wp:positionV>
                  <wp:extent cx="981075" cy="428625"/>
                  <wp:effectExtent l="0" t="0" r="0" b="0"/>
                  <wp:wrapNone/>
                  <wp:docPr id="9" name="ID_FCB7B6FCF9F44976B829B9597C7F8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D_FCB7B6FCF9F44976B829B9597C7F8680"/>
                          <pic:cNvPicPr>
                            <a:picLocks noChangeAspect="1"/>
                          </pic:cNvPicPr>
                        </pic:nvPicPr>
                        <pic:blipFill>
                          <a:blip r:embed="rId12" cstate="print"/>
                          <a:stretch>
                            <a:fillRect/>
                          </a:stretch>
                        </pic:blipFill>
                        <pic:spPr>
                          <a:xfrm>
                            <a:off x="0" y="0"/>
                            <a:ext cx="969010" cy="403225"/>
                          </a:xfrm>
                          <a:prstGeom prst="rect">
                            <a:avLst/>
                          </a:prstGeom>
                          <a:noFill/>
                          <a:ln w="9525">
                            <a:noFill/>
                          </a:ln>
                        </pic:spPr>
                      </pic:pic>
                    </a:graphicData>
                  </a:graphic>
                </wp:anchor>
              </w:drawing>
            </w:r>
          </w:p>
        </w:tc>
      </w:tr>
      <w:tr>
        <w:tblPrEx>
          <w:tblCellMar>
            <w:top w:w="0" w:type="dxa"/>
            <w:left w:w="108" w:type="dxa"/>
            <w:bottom w:w="0" w:type="dxa"/>
            <w:right w:w="108" w:type="dxa"/>
          </w:tblCellMar>
        </w:tblPrEx>
        <w:trPr>
          <w:trHeight w:val="1002" w:hRule="atLeast"/>
        </w:trPr>
        <w:tc>
          <w:tcPr>
            <w:tcW w:w="452"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9</w:t>
            </w:r>
          </w:p>
        </w:tc>
        <w:tc>
          <w:tcPr>
            <w:tcW w:w="1721"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三楼走廊廉洁文化墙</w:t>
            </w:r>
          </w:p>
        </w:tc>
        <w:tc>
          <w:tcPr>
            <w:tcW w:w="2345"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1.5cmPVC板+3mm水晶板UV喷印+异形雕刻</w:t>
            </w:r>
          </w:p>
        </w:tc>
        <w:tc>
          <w:tcPr>
            <w:tcW w:w="1426"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0.8*1.2m*4张</w:t>
            </w:r>
          </w:p>
        </w:tc>
        <w:tc>
          <w:tcPr>
            <w:tcW w:w="656"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3.84</w:t>
            </w:r>
          </w:p>
        </w:tc>
        <w:tc>
          <w:tcPr>
            <w:tcW w:w="453"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w:t>
            </w:r>
          </w:p>
        </w:tc>
        <w:tc>
          <w:tcPr>
            <w:tcW w:w="1321" w:type="dxa"/>
            <w:tcBorders>
              <w:top w:val="nil"/>
              <w:left w:val="nil"/>
              <w:bottom w:val="single" w:color="000000" w:sz="4" w:space="0"/>
              <w:right w:val="single" w:color="000000"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580</w:t>
            </w:r>
          </w:p>
        </w:tc>
        <w:tc>
          <w:tcPr>
            <w:tcW w:w="1103" w:type="dxa"/>
            <w:tcBorders>
              <w:top w:val="nil"/>
              <w:left w:val="nil"/>
              <w:bottom w:val="single" w:color="000000" w:sz="4" w:space="0"/>
              <w:right w:val="nil"/>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 xml:space="preserve">2227.20 </w:t>
            </w:r>
          </w:p>
        </w:tc>
        <w:tc>
          <w:tcPr>
            <w:tcW w:w="1485" w:type="dxa"/>
            <w:tcBorders>
              <w:top w:val="single" w:color="auto" w:sz="4" w:space="0"/>
              <w:left w:val="single" w:color="auto" w:sz="4" w:space="0"/>
              <w:bottom w:val="nil"/>
              <w:right w:val="single" w:color="auto" w:sz="4" w:space="0"/>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drawing>
                <wp:anchor distT="0" distB="0" distL="114300" distR="114300" simplePos="0" relativeHeight="251659264" behindDoc="0" locked="0" layoutInCell="1" allowOverlap="1">
                  <wp:simplePos x="0" y="0"/>
                  <wp:positionH relativeFrom="column">
                    <wp:posOffset>114300</wp:posOffset>
                  </wp:positionH>
                  <wp:positionV relativeFrom="paragraph">
                    <wp:posOffset>9525</wp:posOffset>
                  </wp:positionV>
                  <wp:extent cx="771525" cy="619125"/>
                  <wp:effectExtent l="0" t="0" r="0" b="0"/>
                  <wp:wrapNone/>
                  <wp:docPr id="10" name="ID_5D763DB130F440DAA651B9F700A1D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D_5D763DB130F440DAA651B9F700A1DCCE"/>
                          <pic:cNvPicPr>
                            <a:picLocks noChangeAspect="1"/>
                          </pic:cNvPicPr>
                        </pic:nvPicPr>
                        <pic:blipFill>
                          <a:blip r:embed="rId13" cstate="print"/>
                          <a:stretch>
                            <a:fillRect/>
                          </a:stretch>
                        </pic:blipFill>
                        <pic:spPr>
                          <a:xfrm>
                            <a:off x="0" y="0"/>
                            <a:ext cx="768350" cy="604520"/>
                          </a:xfrm>
                          <a:prstGeom prst="rect">
                            <a:avLst/>
                          </a:prstGeom>
                          <a:noFill/>
                          <a:ln w="9525">
                            <a:noFill/>
                          </a:ln>
                        </pic:spPr>
                      </pic:pic>
                    </a:graphicData>
                  </a:graphic>
                </wp:anchor>
              </w:drawing>
            </w:r>
          </w:p>
        </w:tc>
      </w:tr>
      <w:tr>
        <w:tblPrEx>
          <w:tblCellMar>
            <w:top w:w="0" w:type="dxa"/>
            <w:left w:w="108" w:type="dxa"/>
            <w:bottom w:w="0" w:type="dxa"/>
            <w:right w:w="108" w:type="dxa"/>
          </w:tblCellMar>
        </w:tblPrEx>
        <w:trPr>
          <w:trHeight w:val="799" w:hRule="atLeast"/>
        </w:trPr>
        <w:tc>
          <w:tcPr>
            <w:tcW w:w="837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仿宋" w:hAnsi="仿宋" w:eastAsia="仿宋" w:cs="仿宋"/>
                <w:b/>
                <w:bCs/>
                <w:color w:val="auto"/>
              </w:rPr>
            </w:pPr>
            <w:r>
              <w:rPr>
                <w:rFonts w:hint="eastAsia" w:ascii="仿宋" w:hAnsi="仿宋" w:eastAsia="仿宋" w:cs="仿宋"/>
                <w:b/>
                <w:bCs/>
                <w:color w:val="auto"/>
              </w:rPr>
              <w:t>合计</w:t>
            </w:r>
          </w:p>
        </w:tc>
        <w:tc>
          <w:tcPr>
            <w:tcW w:w="1103" w:type="dxa"/>
            <w:tcBorders>
              <w:top w:val="single" w:color="auto" w:sz="4" w:space="0"/>
              <w:left w:val="nil"/>
              <w:bottom w:val="single" w:color="auto" w:sz="4" w:space="0"/>
              <w:right w:val="nil"/>
            </w:tcBorders>
            <w:shd w:val="clear" w:color="auto" w:fill="auto"/>
            <w:noWrap/>
            <w:vAlign w:val="center"/>
          </w:tcPr>
          <w:p>
            <w:pPr>
              <w:adjustRightInd/>
              <w:snapToGrid/>
              <w:spacing w:after="0"/>
              <w:jc w:val="center"/>
              <w:rPr>
                <w:rFonts w:hint="eastAsia" w:ascii="仿宋" w:hAnsi="仿宋" w:eastAsia="仿宋" w:cs="仿宋"/>
                <w:b/>
                <w:bCs/>
                <w:color w:val="auto"/>
              </w:rPr>
            </w:pPr>
            <w:r>
              <w:rPr>
                <w:rFonts w:hint="eastAsia" w:ascii="仿宋" w:hAnsi="仿宋" w:eastAsia="仿宋" w:cs="仿宋"/>
                <w:b/>
                <w:bCs/>
                <w:color w:val="auto"/>
              </w:rPr>
              <w:t xml:space="preserve">25338.40 </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hint="eastAsia" w:ascii="仿宋" w:hAnsi="仿宋" w:eastAsia="仿宋" w:cs="仿宋"/>
                <w:color w:val="auto"/>
              </w:rPr>
            </w:pPr>
            <w:r>
              <w:rPr>
                <w:rFonts w:hint="eastAsia" w:ascii="仿宋" w:hAnsi="仿宋" w:eastAsia="仿宋" w:cs="仿宋"/>
                <w:color w:val="auto"/>
              </w:rPr>
              <w:t>　</w:t>
            </w:r>
          </w:p>
        </w:tc>
      </w:tr>
      <w:tr>
        <w:tblPrEx>
          <w:tblCellMar>
            <w:top w:w="0" w:type="dxa"/>
            <w:left w:w="108" w:type="dxa"/>
            <w:bottom w:w="0" w:type="dxa"/>
            <w:right w:w="108" w:type="dxa"/>
          </w:tblCellMar>
        </w:tblPrEx>
        <w:trPr>
          <w:trHeight w:val="285" w:hRule="atLeast"/>
        </w:trPr>
        <w:tc>
          <w:tcPr>
            <w:tcW w:w="10962" w:type="dxa"/>
            <w:gridSpan w:val="9"/>
            <w:tcBorders>
              <w:top w:val="single" w:color="auto" w:sz="4" w:space="0"/>
              <w:left w:val="nil"/>
              <w:bottom w:val="nil"/>
              <w:right w:val="nil"/>
            </w:tcBorders>
            <w:shd w:val="clear" w:color="auto" w:fill="auto"/>
            <w:noWrap/>
            <w:vAlign w:val="center"/>
          </w:tcPr>
          <w:p>
            <w:pPr>
              <w:adjustRightInd/>
              <w:snapToGrid/>
              <w:spacing w:after="0"/>
              <w:jc w:val="center"/>
              <w:rPr>
                <w:rFonts w:hint="eastAsia" w:ascii="仿宋" w:hAnsi="仿宋" w:eastAsia="仿宋" w:cs="仿宋"/>
                <w:color w:val="auto"/>
              </w:rPr>
            </w:pPr>
            <w:r>
              <w:rPr>
                <w:rFonts w:hint="eastAsia" w:ascii="仿宋" w:hAnsi="仿宋" w:eastAsia="仿宋" w:cs="仿宋"/>
                <w:color w:val="auto"/>
              </w:rPr>
              <w:t>备注：以上价格均含设计、运输、安装（含高空、吊车等）、辅材（包含玻璃胶、三秒胶等）等所有费用。</w:t>
            </w:r>
          </w:p>
        </w:tc>
      </w:tr>
    </w:tbl>
    <w:p>
      <w:pPr>
        <w:spacing w:line="220" w:lineRule="atLeast"/>
        <w:rPr>
          <w:rFonts w:hint="eastAsia" w:ascii="仿宋" w:hAnsi="仿宋" w:eastAsia="仿宋" w:cs="仿宋"/>
          <w:color w:val="auto"/>
        </w:rPr>
      </w:pPr>
    </w:p>
    <w:p>
      <w:pPr>
        <w:spacing w:line="220" w:lineRule="atLeast"/>
        <w:rPr>
          <w:rFonts w:hint="eastAsia" w:ascii="仿宋" w:hAnsi="仿宋" w:eastAsia="仿宋" w:cs="仿宋"/>
          <w:color w:val="auto"/>
        </w:rPr>
      </w:pPr>
      <w:r>
        <w:rPr>
          <w:rFonts w:hint="eastAsia" w:ascii="仿宋" w:hAnsi="仿宋" w:eastAsia="仿宋" w:cs="仿宋"/>
          <w:color w:val="auto"/>
        </w:rPr>
        <w:t>2.2交货期限：</w:t>
      </w:r>
      <w:r>
        <w:rPr>
          <w:rFonts w:hint="eastAsia" w:ascii="仿宋" w:hAnsi="仿宋" w:eastAsia="仿宋" w:cs="仿宋"/>
          <w:color w:val="auto"/>
        </w:rPr>
        <w:t>合同签订后30日。</w:t>
      </w:r>
    </w:p>
    <w:p>
      <w:pPr>
        <w:spacing w:line="220" w:lineRule="atLeast"/>
        <w:rPr>
          <w:rFonts w:hint="eastAsia" w:ascii="仿宋" w:hAnsi="仿宋" w:eastAsia="仿宋" w:cs="仿宋"/>
          <w:color w:val="auto"/>
        </w:rPr>
      </w:pPr>
      <w:r>
        <w:rPr>
          <w:rFonts w:hint="eastAsia" w:ascii="仿宋" w:hAnsi="仿宋" w:eastAsia="仿宋" w:cs="仿宋"/>
          <w:color w:val="auto"/>
        </w:rPr>
        <w:t>2.3质保期：</w:t>
      </w:r>
      <w:r>
        <w:rPr>
          <w:rFonts w:hint="eastAsia" w:ascii="仿宋" w:hAnsi="仿宋" w:eastAsia="仿宋" w:cs="仿宋"/>
          <w:color w:val="auto"/>
        </w:rPr>
        <w:t>不低于2年。</w:t>
      </w:r>
    </w:p>
    <w:p>
      <w:pPr>
        <w:spacing w:line="220" w:lineRule="atLeast"/>
        <w:rPr>
          <w:rFonts w:hint="eastAsia" w:ascii="仿宋" w:hAnsi="仿宋" w:eastAsia="仿宋" w:cs="仿宋"/>
          <w:color w:val="auto"/>
        </w:rPr>
      </w:pPr>
      <w:r>
        <w:rPr>
          <w:rFonts w:hint="eastAsia" w:ascii="仿宋" w:hAnsi="仿宋" w:eastAsia="仿宋" w:cs="仿宋"/>
          <w:color w:val="auto"/>
        </w:rPr>
        <w:t>2.4付款方式：</w:t>
      </w:r>
      <w:r>
        <w:rPr>
          <w:rFonts w:hint="eastAsia" w:ascii="仿宋" w:hAnsi="仿宋" w:eastAsia="仿宋" w:cs="仿宋"/>
          <w:color w:val="auto"/>
        </w:rPr>
        <w:t>合同签订完成且在收到乙方出具合法有效完整的完税发票及凭证资料后的次月内，付合同总金额的90%, 质保期满且在收到乙方出具合法有效完整的完税发票及凭证资料后的次月内, 付合同总金额的10%。</w:t>
      </w:r>
    </w:p>
    <w:p>
      <w:pPr>
        <w:spacing w:line="220" w:lineRule="atLeast"/>
        <w:rPr>
          <w:rFonts w:hint="eastAsia" w:ascii="仿宋" w:hAnsi="仿宋" w:eastAsia="仿宋" w:cs="仿宋"/>
          <w:color w:val="auto"/>
        </w:rPr>
      </w:pPr>
      <w:r>
        <w:rPr>
          <w:rFonts w:hint="eastAsia" w:ascii="仿宋" w:hAnsi="仿宋" w:eastAsia="仿宋" w:cs="仿宋"/>
          <w:color w:val="auto"/>
        </w:rPr>
        <w:t>2.5采购合同（参考模版）见附件二</w:t>
      </w:r>
    </w:p>
    <w:p>
      <w:pPr>
        <w:spacing w:line="220" w:lineRule="atLeast"/>
        <w:rPr>
          <w:rFonts w:hint="eastAsia" w:ascii="仿宋" w:hAnsi="仿宋" w:eastAsia="仿宋" w:cs="仿宋"/>
          <w:color w:val="auto"/>
        </w:rPr>
      </w:pPr>
      <w:r>
        <w:rPr>
          <w:rFonts w:hint="eastAsia" w:ascii="仿宋" w:hAnsi="仿宋" w:eastAsia="仿宋" w:cs="仿宋"/>
          <w:b/>
          <w:bCs/>
          <w:color w:val="auto"/>
        </w:rPr>
        <w:t>三、公示时间及报名要求：</w:t>
      </w:r>
      <w:r>
        <w:rPr>
          <w:rFonts w:hint="eastAsia" w:ascii="仿宋" w:hAnsi="仿宋" w:eastAsia="仿宋" w:cs="仿宋"/>
          <w:color w:val="auto"/>
        </w:rPr>
        <w:br w:type="textWrapping"/>
      </w:r>
      <w:r>
        <w:rPr>
          <w:rFonts w:hint="eastAsia" w:ascii="仿宋" w:hAnsi="仿宋" w:eastAsia="仿宋" w:cs="仿宋"/>
          <w:color w:val="auto"/>
        </w:rPr>
        <w:t>3.1公示及报名时间：</w:t>
      </w:r>
      <w:r>
        <w:rPr>
          <w:rFonts w:hint="eastAsia" w:ascii="仿宋" w:hAnsi="仿宋" w:eastAsia="仿宋" w:cs="仿宋"/>
          <w:color w:val="auto"/>
          <w:u w:val="single"/>
        </w:rPr>
        <w:t>2024年2月</w:t>
      </w:r>
      <w:r>
        <w:rPr>
          <w:rFonts w:hint="eastAsia" w:ascii="仿宋" w:hAnsi="仿宋" w:eastAsia="仿宋" w:cs="仿宋"/>
          <w:color w:val="auto"/>
          <w:u w:val="single"/>
          <w:lang w:val="en-US" w:eastAsia="zh-CN"/>
        </w:rPr>
        <w:t>20</w:t>
      </w:r>
      <w:r>
        <w:rPr>
          <w:rFonts w:hint="eastAsia" w:ascii="仿宋" w:hAnsi="仿宋" w:eastAsia="仿宋" w:cs="仿宋"/>
          <w:color w:val="auto"/>
          <w:u w:val="single"/>
        </w:rPr>
        <w:t>日至2023年2月</w:t>
      </w:r>
      <w:r>
        <w:rPr>
          <w:rFonts w:hint="eastAsia" w:ascii="仿宋" w:hAnsi="仿宋" w:eastAsia="仿宋" w:cs="仿宋"/>
          <w:color w:val="auto"/>
          <w:u w:val="single"/>
          <w:lang w:val="en-US" w:eastAsia="zh-CN"/>
        </w:rPr>
        <w:t>22</w:t>
      </w:r>
      <w:r>
        <w:rPr>
          <w:rFonts w:hint="eastAsia" w:ascii="仿宋" w:hAnsi="仿宋" w:eastAsia="仿宋" w:cs="仿宋"/>
          <w:color w:val="auto"/>
          <w:u w:val="single"/>
        </w:rPr>
        <w:t>日</w:t>
      </w:r>
      <w:r>
        <w:rPr>
          <w:rFonts w:hint="eastAsia" w:ascii="仿宋" w:hAnsi="仿宋" w:eastAsia="仿宋" w:cs="仿宋"/>
          <w:color w:val="auto"/>
        </w:rPr>
        <w:t>。</w:t>
      </w:r>
    </w:p>
    <w:p>
      <w:pPr>
        <w:spacing w:line="220" w:lineRule="atLeast"/>
        <w:rPr>
          <w:rFonts w:hint="eastAsia" w:ascii="仿宋" w:hAnsi="仿宋" w:eastAsia="仿宋" w:cs="仿宋"/>
          <w:color w:val="auto"/>
        </w:rPr>
      </w:pPr>
      <w:r>
        <w:rPr>
          <w:rFonts w:hint="eastAsia" w:ascii="仿宋" w:hAnsi="仿宋" w:eastAsia="仿宋" w:cs="仿宋"/>
          <w:color w:val="auto"/>
        </w:rPr>
        <w:t>3.2报名资料要求（提供加盖鲜章的纸质或扫描文件）：</w:t>
      </w:r>
    </w:p>
    <w:p>
      <w:pPr>
        <w:spacing w:line="220" w:lineRule="atLeast"/>
        <w:rPr>
          <w:rFonts w:hint="eastAsia" w:ascii="仿宋" w:hAnsi="仿宋" w:eastAsia="仿宋" w:cs="仿宋"/>
          <w:color w:val="auto"/>
        </w:rPr>
      </w:pPr>
      <w:r>
        <w:rPr>
          <w:rFonts w:hint="eastAsia" w:ascii="仿宋" w:hAnsi="仿宋" w:eastAsia="仿宋" w:cs="仿宋"/>
          <w:color w:val="auto"/>
        </w:rPr>
        <w:t>3.2.1廉洁承诺书（详见附件一）。</w:t>
      </w:r>
    </w:p>
    <w:p>
      <w:pPr>
        <w:spacing w:line="220" w:lineRule="atLeast"/>
        <w:rPr>
          <w:rFonts w:hint="eastAsia" w:ascii="仿宋" w:hAnsi="仿宋" w:eastAsia="仿宋" w:cs="仿宋"/>
          <w:color w:val="auto"/>
        </w:rPr>
      </w:pPr>
      <w:r>
        <w:rPr>
          <w:rFonts w:hint="eastAsia" w:ascii="仿宋" w:hAnsi="仿宋" w:eastAsia="仿宋" w:cs="仿宋"/>
          <w:color w:val="auto"/>
        </w:rPr>
        <w:t>3.2.2营业执照副本复印件（注：</w:t>
      </w:r>
      <w:r>
        <w:rPr>
          <w:rFonts w:hint="eastAsia" w:ascii="仿宋" w:hAnsi="仿宋" w:eastAsia="仿宋" w:cs="仿宋"/>
          <w:color w:val="auto"/>
        </w:rPr>
        <w:t>经营范围含</w:t>
      </w:r>
      <w:r>
        <w:rPr>
          <w:rFonts w:hint="eastAsia" w:ascii="仿宋" w:hAnsi="仿宋" w:eastAsia="仿宋" w:cs="仿宋"/>
          <w:color w:val="auto"/>
          <w:lang w:val="en-US" w:eastAsia="zh-CN"/>
        </w:rPr>
        <w:t>广告设计</w:t>
      </w:r>
      <w:r>
        <w:rPr>
          <w:rFonts w:hint="eastAsia" w:ascii="仿宋" w:hAnsi="仿宋" w:eastAsia="仿宋" w:cs="仿宋"/>
          <w:color w:val="auto"/>
        </w:rPr>
        <w:t>相关内容</w:t>
      </w:r>
      <w:r>
        <w:rPr>
          <w:rFonts w:hint="eastAsia" w:ascii="仿宋" w:hAnsi="仿宋" w:eastAsia="仿宋" w:cs="仿宋"/>
          <w:color w:val="auto"/>
        </w:rPr>
        <w:t>）。</w:t>
      </w:r>
    </w:p>
    <w:p>
      <w:pPr>
        <w:spacing w:line="220" w:lineRule="atLeast"/>
        <w:rPr>
          <w:rFonts w:hint="eastAsia" w:ascii="仿宋" w:hAnsi="仿宋" w:eastAsia="仿宋" w:cs="仿宋"/>
          <w:color w:val="auto"/>
        </w:rPr>
      </w:pPr>
      <w:r>
        <w:rPr>
          <w:rFonts w:hint="eastAsia" w:ascii="仿宋" w:hAnsi="仿宋" w:eastAsia="仿宋" w:cs="仿宋"/>
          <w:color w:val="auto"/>
        </w:rPr>
        <w:t>3.2.3联系方式（联系人姓名+联系电话）。</w:t>
      </w:r>
    </w:p>
    <w:p>
      <w:pPr>
        <w:spacing w:line="220" w:lineRule="atLeast"/>
        <w:rPr>
          <w:rFonts w:hint="eastAsia" w:ascii="仿宋" w:hAnsi="仿宋" w:eastAsia="仿宋" w:cs="仿宋"/>
          <w:color w:val="auto"/>
        </w:rPr>
      </w:pPr>
      <w:r>
        <w:rPr>
          <w:rFonts w:hint="eastAsia" w:ascii="仿宋" w:hAnsi="仿宋" w:eastAsia="仿宋" w:cs="仿宋"/>
          <w:color w:val="auto"/>
        </w:rPr>
        <w:t>3.3报名方式：网上发送报名资料压缩文件包（电子邮件名称为“×××单位+资阳市精神病医院法律顾问服务采购项目+联系人姓名+联系电话”）至QQ邮箱：</w:t>
      </w:r>
      <w:r>
        <w:rPr>
          <w:rFonts w:hint="eastAsia" w:ascii="仿宋" w:hAnsi="仿宋" w:eastAsia="仿宋" w:cs="仿宋"/>
          <w:color w:val="auto"/>
          <w:lang w:val="en-US" w:eastAsia="zh-CN"/>
        </w:rPr>
        <w:t>277324113</w:t>
      </w:r>
      <w:r>
        <w:rPr>
          <w:rFonts w:hint="eastAsia" w:ascii="仿宋" w:hAnsi="仿宋" w:eastAsia="仿宋" w:cs="仿宋"/>
          <w:color w:val="auto"/>
        </w:rPr>
        <w:t>@qq.com。</w:t>
      </w:r>
    </w:p>
    <w:p>
      <w:pPr>
        <w:spacing w:line="220" w:lineRule="atLeast"/>
        <w:rPr>
          <w:rFonts w:hint="eastAsia" w:ascii="仿宋" w:hAnsi="仿宋" w:eastAsia="仿宋" w:cs="仿宋"/>
          <w:color w:val="auto"/>
        </w:rPr>
      </w:pPr>
      <w:r>
        <w:rPr>
          <w:rFonts w:hint="eastAsia" w:ascii="仿宋" w:hAnsi="仿宋" w:eastAsia="仿宋" w:cs="仿宋"/>
          <w:b/>
          <w:bCs/>
          <w:color w:val="auto"/>
        </w:rPr>
        <w:t>四、投标资料要求（密封并加盖鲜章）</w:t>
      </w:r>
      <w:r>
        <w:rPr>
          <w:rFonts w:hint="eastAsia" w:ascii="仿宋" w:hAnsi="仿宋" w:eastAsia="仿宋" w:cs="仿宋"/>
          <w:color w:val="auto"/>
        </w:rPr>
        <w:t>：</w:t>
      </w:r>
    </w:p>
    <w:p>
      <w:pPr>
        <w:spacing w:line="220" w:lineRule="atLeast"/>
        <w:rPr>
          <w:rFonts w:hint="eastAsia" w:ascii="仿宋" w:hAnsi="仿宋" w:eastAsia="仿宋" w:cs="仿宋"/>
          <w:color w:val="auto"/>
        </w:rPr>
      </w:pPr>
      <w:r>
        <w:rPr>
          <w:rFonts w:hint="eastAsia" w:ascii="仿宋" w:hAnsi="仿宋" w:eastAsia="仿宋" w:cs="仿宋"/>
          <w:color w:val="auto"/>
        </w:rPr>
        <w:t>4.1廉洁承诺书（详见附件）。</w:t>
      </w:r>
    </w:p>
    <w:p>
      <w:pPr>
        <w:spacing w:line="220" w:lineRule="atLeast"/>
        <w:rPr>
          <w:rFonts w:hint="eastAsia" w:ascii="仿宋" w:hAnsi="仿宋" w:eastAsia="仿宋" w:cs="仿宋"/>
          <w:color w:val="auto"/>
        </w:rPr>
      </w:pPr>
      <w:r>
        <w:rPr>
          <w:rFonts w:hint="eastAsia" w:ascii="仿宋" w:hAnsi="仿宋" w:eastAsia="仿宋" w:cs="仿宋"/>
          <w:color w:val="auto"/>
        </w:rPr>
        <w:t>4.2营业执照副本复印件（注：</w:t>
      </w:r>
      <w:r>
        <w:rPr>
          <w:rFonts w:hint="eastAsia" w:ascii="仿宋" w:hAnsi="仿宋" w:eastAsia="仿宋" w:cs="仿宋"/>
          <w:color w:val="auto"/>
        </w:rPr>
        <w:t>经营范围含</w:t>
      </w:r>
      <w:r>
        <w:rPr>
          <w:rFonts w:hint="eastAsia" w:ascii="仿宋" w:hAnsi="仿宋" w:eastAsia="仿宋" w:cs="仿宋"/>
          <w:color w:val="auto"/>
          <w:lang w:val="en-US" w:eastAsia="zh-CN"/>
        </w:rPr>
        <w:t>广告设计</w:t>
      </w:r>
      <w:r>
        <w:rPr>
          <w:rFonts w:hint="eastAsia" w:ascii="仿宋" w:hAnsi="仿宋" w:eastAsia="仿宋" w:cs="仿宋"/>
          <w:color w:val="auto"/>
        </w:rPr>
        <w:t>相关内容</w:t>
      </w:r>
      <w:r>
        <w:rPr>
          <w:rFonts w:hint="eastAsia" w:ascii="仿宋" w:hAnsi="仿宋" w:eastAsia="仿宋" w:cs="仿宋"/>
          <w:color w:val="auto"/>
        </w:rPr>
        <w:t>）。</w:t>
      </w:r>
    </w:p>
    <w:p>
      <w:pPr>
        <w:spacing w:line="220" w:lineRule="atLeast"/>
        <w:rPr>
          <w:rFonts w:hint="eastAsia" w:ascii="仿宋" w:hAnsi="仿宋" w:eastAsia="仿宋" w:cs="仿宋"/>
          <w:color w:val="auto"/>
        </w:rPr>
      </w:pPr>
      <w:r>
        <w:rPr>
          <w:rFonts w:hint="eastAsia" w:ascii="仿宋" w:hAnsi="仿宋" w:eastAsia="仿宋" w:cs="仿宋"/>
          <w:color w:val="auto"/>
        </w:rPr>
        <w:t>4.3响应供应商的法定代表人证明资料。</w:t>
      </w:r>
    </w:p>
    <w:p>
      <w:pPr>
        <w:spacing w:line="220" w:lineRule="atLeast"/>
        <w:rPr>
          <w:rFonts w:hint="eastAsia" w:ascii="仿宋" w:hAnsi="仿宋" w:eastAsia="仿宋" w:cs="仿宋"/>
          <w:color w:val="auto"/>
        </w:rPr>
      </w:pPr>
      <w:r>
        <w:rPr>
          <w:rFonts w:hint="eastAsia" w:ascii="仿宋" w:hAnsi="仿宋" w:eastAsia="仿宋" w:cs="仿宋"/>
          <w:color w:val="auto"/>
        </w:rPr>
        <w:t>4.4法人委托代表人进行投标的授权书。</w:t>
      </w:r>
    </w:p>
    <w:p>
      <w:pPr>
        <w:spacing w:line="220" w:lineRule="atLeast"/>
        <w:rPr>
          <w:rFonts w:hint="eastAsia" w:ascii="仿宋" w:hAnsi="仿宋" w:eastAsia="仿宋" w:cs="仿宋"/>
          <w:color w:val="auto"/>
        </w:rPr>
      </w:pPr>
      <w:r>
        <w:rPr>
          <w:rFonts w:hint="eastAsia" w:ascii="仿宋" w:hAnsi="仿宋" w:eastAsia="仿宋" w:cs="仿宋"/>
          <w:color w:val="auto"/>
        </w:rPr>
        <w:t>4.5法定代表人及被授权人身份证复印件（含联系方式）。</w:t>
      </w:r>
    </w:p>
    <w:p>
      <w:pPr>
        <w:spacing w:line="220" w:lineRule="atLeast"/>
        <w:rPr>
          <w:rFonts w:hint="eastAsia" w:ascii="仿宋" w:hAnsi="仿宋" w:eastAsia="仿宋" w:cs="仿宋"/>
          <w:color w:val="auto"/>
        </w:rPr>
      </w:pPr>
      <w:r>
        <w:rPr>
          <w:rFonts w:hint="eastAsia" w:ascii="仿宋" w:hAnsi="仿宋" w:eastAsia="仿宋" w:cs="仿宋"/>
          <w:color w:val="auto"/>
        </w:rPr>
        <w:t>4.6报价表（格式以2.1采购内容：资阳市精神病医院党建阵地设计制作安装服务采购项目清单为准）。</w:t>
      </w:r>
    </w:p>
    <w:p>
      <w:pPr>
        <w:spacing w:line="220" w:lineRule="atLeast"/>
        <w:rPr>
          <w:rFonts w:hint="eastAsia" w:ascii="仿宋" w:hAnsi="仿宋" w:eastAsia="仿宋" w:cs="仿宋"/>
          <w:color w:val="auto"/>
        </w:rPr>
      </w:pPr>
      <w:r>
        <w:rPr>
          <w:rFonts w:hint="eastAsia" w:ascii="仿宋" w:hAnsi="仿宋" w:eastAsia="仿宋" w:cs="仿宋"/>
          <w:b/>
          <w:bCs/>
          <w:color w:val="auto"/>
        </w:rPr>
        <w:t>五、招标资料投递时间及地点：</w:t>
      </w:r>
    </w:p>
    <w:p>
      <w:pPr>
        <w:spacing w:line="220" w:lineRule="atLeast"/>
        <w:ind w:firstLine="440" w:firstLineChars="200"/>
        <w:rPr>
          <w:rFonts w:hint="eastAsia" w:ascii="仿宋" w:hAnsi="仿宋" w:eastAsia="仿宋" w:cs="仿宋"/>
          <w:color w:val="auto"/>
        </w:rPr>
      </w:pPr>
      <w:r>
        <w:rPr>
          <w:rFonts w:hint="eastAsia" w:ascii="仿宋" w:hAnsi="仿宋" w:eastAsia="仿宋" w:cs="仿宋"/>
          <w:color w:val="auto"/>
        </w:rPr>
        <w:t>院内询价时间：</w:t>
      </w:r>
      <w:r>
        <w:rPr>
          <w:rFonts w:hint="eastAsia" w:ascii="仿宋" w:hAnsi="仿宋" w:eastAsia="仿宋" w:cs="仿宋"/>
          <w:color w:val="auto"/>
          <w:u w:val="single"/>
        </w:rPr>
        <w:t>2024年2月</w:t>
      </w:r>
      <w:r>
        <w:rPr>
          <w:rFonts w:hint="eastAsia" w:ascii="仿宋" w:hAnsi="仿宋" w:eastAsia="仿宋" w:cs="仿宋"/>
          <w:color w:val="auto"/>
          <w:u w:val="single"/>
          <w:lang w:val="en-US" w:eastAsia="zh-CN"/>
        </w:rPr>
        <w:t>27</w:t>
      </w:r>
      <w:r>
        <w:rPr>
          <w:rFonts w:hint="eastAsia" w:ascii="仿宋" w:hAnsi="仿宋" w:eastAsia="仿宋" w:cs="仿宋"/>
          <w:color w:val="auto"/>
          <w:u w:val="single"/>
        </w:rPr>
        <w:t>日10:00</w:t>
      </w:r>
      <w:r>
        <w:rPr>
          <w:rFonts w:hint="eastAsia" w:ascii="仿宋" w:hAnsi="仿宋" w:eastAsia="仿宋" w:cs="仿宋"/>
          <w:color w:val="auto"/>
        </w:rPr>
        <w:t>，院内询价地点：资阳市第四人民医院新区（资阳市雁江区康乐南路203号5号楼4楼会议室）。</w:t>
      </w:r>
    </w:p>
    <w:p>
      <w:pPr>
        <w:spacing w:line="220" w:lineRule="atLeast"/>
        <w:ind w:firstLine="440" w:firstLineChars="200"/>
        <w:rPr>
          <w:rFonts w:hint="eastAsia" w:ascii="仿宋" w:hAnsi="仿宋" w:eastAsia="仿宋" w:cs="仿宋"/>
          <w:color w:val="auto"/>
        </w:rPr>
      </w:pPr>
      <w:r>
        <w:rPr>
          <w:rFonts w:hint="eastAsia" w:ascii="仿宋" w:hAnsi="仿宋" w:eastAsia="仿宋" w:cs="仿宋"/>
          <w:color w:val="auto"/>
        </w:rPr>
        <w:t>询价相关事宜联系人：</w:t>
      </w:r>
      <w:r>
        <w:rPr>
          <w:rFonts w:hint="eastAsia" w:ascii="仿宋" w:hAnsi="仿宋" w:eastAsia="仿宋" w:cs="仿宋"/>
          <w:color w:val="auto"/>
          <w:lang w:val="en-US" w:eastAsia="zh-CN"/>
        </w:rPr>
        <w:t>王老师  电话：13688278252</w:t>
      </w:r>
      <w:r>
        <w:rPr>
          <w:rFonts w:hint="eastAsia" w:ascii="仿宋" w:hAnsi="仿宋" w:eastAsia="仿宋" w:cs="仿宋"/>
          <w:color w:val="auto"/>
        </w:rPr>
        <w:t>。</w:t>
      </w:r>
    </w:p>
    <w:p>
      <w:pPr>
        <w:spacing w:line="220" w:lineRule="atLeast"/>
        <w:ind w:firstLine="6380" w:firstLineChars="2900"/>
        <w:rPr>
          <w:rFonts w:hint="eastAsia" w:ascii="仿宋" w:hAnsi="仿宋" w:eastAsia="仿宋" w:cs="仿宋"/>
          <w:color w:val="auto"/>
        </w:rPr>
      </w:pPr>
    </w:p>
    <w:p>
      <w:pPr>
        <w:spacing w:line="220" w:lineRule="atLeast"/>
        <w:ind w:firstLine="6380" w:firstLineChars="2900"/>
        <w:rPr>
          <w:rFonts w:hint="eastAsia" w:ascii="仿宋" w:hAnsi="仿宋" w:eastAsia="仿宋" w:cs="仿宋"/>
          <w:color w:val="auto"/>
        </w:rPr>
      </w:pPr>
      <w:r>
        <w:rPr>
          <w:rFonts w:hint="eastAsia" w:ascii="仿宋" w:hAnsi="仿宋" w:eastAsia="仿宋" w:cs="仿宋"/>
          <w:color w:val="auto"/>
        </w:rPr>
        <w:t>2024年2月</w:t>
      </w:r>
      <w:r>
        <w:rPr>
          <w:rFonts w:hint="eastAsia" w:ascii="仿宋" w:hAnsi="仿宋" w:eastAsia="仿宋" w:cs="仿宋"/>
          <w:color w:val="auto"/>
          <w:lang w:val="en-US" w:eastAsia="zh-CN"/>
        </w:rPr>
        <w:t>19</w:t>
      </w:r>
      <w:r>
        <w:rPr>
          <w:rFonts w:hint="eastAsia" w:ascii="仿宋" w:hAnsi="仿宋" w:eastAsia="仿宋" w:cs="仿宋"/>
          <w:color w:val="auto"/>
        </w:rPr>
        <w:t>日</w:t>
      </w:r>
    </w:p>
    <w:p>
      <w:pPr>
        <w:spacing w:line="220" w:lineRule="atLeast"/>
        <w:rPr>
          <w:rFonts w:hint="eastAsia" w:ascii="仿宋" w:hAnsi="仿宋" w:eastAsia="仿宋" w:cs="仿宋"/>
          <w:color w:val="auto"/>
        </w:rPr>
      </w:pPr>
    </w:p>
    <w:p>
      <w:pPr>
        <w:spacing w:line="220" w:lineRule="atLeast"/>
        <w:rPr>
          <w:rFonts w:hint="eastAsia" w:ascii="仿宋" w:hAnsi="仿宋" w:eastAsia="仿宋" w:cs="仿宋"/>
          <w:color w:val="auto"/>
        </w:rPr>
      </w:pPr>
    </w:p>
    <w:p>
      <w:pPr>
        <w:spacing w:line="220" w:lineRule="atLeast"/>
        <w:rPr>
          <w:rFonts w:hint="eastAsia" w:ascii="仿宋" w:hAnsi="仿宋" w:eastAsia="仿宋" w:cs="仿宋"/>
          <w:color w:val="auto"/>
        </w:rPr>
      </w:pPr>
    </w:p>
    <w:p>
      <w:pPr>
        <w:spacing w:line="220" w:lineRule="atLeast"/>
        <w:rPr>
          <w:rFonts w:hint="eastAsia" w:ascii="仿宋" w:hAnsi="仿宋" w:eastAsia="仿宋" w:cs="仿宋"/>
          <w:color w:val="auto"/>
        </w:rPr>
      </w:pPr>
    </w:p>
    <w:p>
      <w:pPr>
        <w:spacing w:line="220" w:lineRule="atLeast"/>
        <w:rPr>
          <w:rFonts w:hint="eastAsia" w:ascii="仿宋" w:hAnsi="仿宋" w:eastAsia="仿宋" w:cs="仿宋"/>
          <w:color w:val="auto"/>
        </w:rPr>
      </w:pPr>
    </w:p>
    <w:p>
      <w:pPr>
        <w:spacing w:line="220" w:lineRule="atLeast"/>
        <w:rPr>
          <w:rFonts w:hint="eastAsia" w:ascii="仿宋" w:hAnsi="仿宋" w:eastAsia="仿宋" w:cs="仿宋"/>
          <w:color w:val="auto"/>
        </w:rPr>
      </w:pPr>
    </w:p>
    <w:p>
      <w:pPr>
        <w:spacing w:line="220" w:lineRule="atLeast"/>
        <w:rPr>
          <w:rFonts w:hint="eastAsia" w:ascii="仿宋" w:hAnsi="仿宋" w:eastAsia="仿宋" w:cs="仿宋"/>
          <w:color w:val="auto"/>
        </w:rPr>
      </w:pPr>
    </w:p>
    <w:p>
      <w:pPr>
        <w:spacing w:line="220" w:lineRule="atLeast"/>
        <w:rPr>
          <w:rFonts w:hint="eastAsia" w:ascii="仿宋" w:hAnsi="仿宋" w:eastAsia="仿宋" w:cs="仿宋"/>
          <w:color w:val="auto"/>
        </w:rPr>
      </w:pPr>
    </w:p>
    <w:p>
      <w:pPr>
        <w:spacing w:line="220" w:lineRule="atLeast"/>
        <w:rPr>
          <w:rFonts w:hint="eastAsia" w:ascii="仿宋" w:hAnsi="仿宋" w:eastAsia="仿宋" w:cs="仿宋"/>
          <w:color w:val="auto"/>
        </w:rPr>
      </w:pPr>
    </w:p>
    <w:p>
      <w:pPr>
        <w:spacing w:line="220" w:lineRule="atLeast"/>
        <w:rPr>
          <w:rFonts w:hint="eastAsia" w:ascii="仿宋" w:hAnsi="仿宋" w:eastAsia="仿宋" w:cs="仿宋"/>
          <w:color w:val="auto"/>
        </w:rPr>
      </w:pPr>
    </w:p>
    <w:p>
      <w:pPr>
        <w:spacing w:line="220" w:lineRule="atLeast"/>
        <w:rPr>
          <w:rFonts w:hint="eastAsia" w:ascii="仿宋" w:hAnsi="仿宋" w:eastAsia="仿宋" w:cs="仿宋"/>
          <w:color w:val="auto"/>
        </w:rPr>
      </w:pPr>
    </w:p>
    <w:p>
      <w:pPr>
        <w:spacing w:line="220" w:lineRule="atLeast"/>
        <w:rPr>
          <w:rFonts w:hint="eastAsia" w:ascii="仿宋" w:hAnsi="仿宋" w:eastAsia="仿宋" w:cs="仿宋"/>
          <w:color w:val="auto"/>
        </w:rPr>
      </w:pPr>
    </w:p>
    <w:p>
      <w:pPr>
        <w:spacing w:line="220" w:lineRule="atLeast"/>
        <w:rPr>
          <w:rFonts w:hint="eastAsia" w:ascii="仿宋" w:hAnsi="仿宋" w:eastAsia="仿宋" w:cs="仿宋"/>
          <w:color w:val="auto"/>
        </w:rPr>
      </w:pPr>
    </w:p>
    <w:p>
      <w:pPr>
        <w:spacing w:line="220" w:lineRule="atLeast"/>
        <w:rPr>
          <w:rFonts w:hint="eastAsia" w:ascii="仿宋" w:hAnsi="仿宋" w:eastAsia="仿宋" w:cs="仿宋"/>
          <w:color w:val="auto"/>
        </w:rPr>
      </w:pPr>
    </w:p>
    <w:p>
      <w:pPr>
        <w:spacing w:line="220" w:lineRule="atLeast"/>
        <w:rPr>
          <w:rFonts w:hint="eastAsia" w:ascii="仿宋" w:hAnsi="仿宋" w:eastAsia="仿宋" w:cs="仿宋"/>
          <w:color w:val="auto"/>
        </w:rPr>
      </w:pPr>
    </w:p>
    <w:p>
      <w:pPr>
        <w:spacing w:line="220" w:lineRule="atLeast"/>
        <w:rPr>
          <w:rFonts w:hint="eastAsia" w:ascii="仿宋" w:hAnsi="仿宋" w:eastAsia="仿宋" w:cs="仿宋"/>
          <w:color w:val="auto"/>
        </w:rPr>
      </w:pPr>
    </w:p>
    <w:p>
      <w:pPr>
        <w:spacing w:line="220" w:lineRule="atLeast"/>
        <w:rPr>
          <w:rFonts w:hint="eastAsia" w:ascii="仿宋" w:hAnsi="仿宋" w:eastAsia="仿宋" w:cs="仿宋"/>
          <w:color w:val="auto"/>
        </w:rPr>
      </w:pPr>
    </w:p>
    <w:p>
      <w:pPr>
        <w:spacing w:line="220" w:lineRule="atLeast"/>
        <w:rPr>
          <w:rFonts w:hint="eastAsia" w:ascii="仿宋" w:hAnsi="仿宋" w:eastAsia="仿宋" w:cs="仿宋"/>
          <w:color w:val="auto"/>
        </w:rPr>
      </w:pPr>
    </w:p>
    <w:p>
      <w:pPr>
        <w:spacing w:line="220" w:lineRule="atLeast"/>
        <w:rPr>
          <w:rFonts w:hint="eastAsia" w:ascii="仿宋" w:hAnsi="仿宋" w:eastAsia="仿宋" w:cs="仿宋"/>
          <w:color w:val="auto"/>
        </w:rPr>
      </w:pPr>
      <w:r>
        <w:rPr>
          <w:rFonts w:hint="eastAsia" w:ascii="仿宋" w:hAnsi="仿宋" w:eastAsia="仿宋" w:cs="仿宋"/>
          <w:color w:val="auto"/>
        </w:rPr>
        <w:t>附件一：</w:t>
      </w:r>
    </w:p>
    <w:p>
      <w:pPr>
        <w:spacing w:line="220" w:lineRule="atLeast"/>
        <w:ind w:firstLine="3630" w:firstLineChars="1650"/>
        <w:rPr>
          <w:rFonts w:hint="eastAsia" w:ascii="仿宋" w:hAnsi="仿宋" w:eastAsia="仿宋" w:cs="仿宋"/>
          <w:color w:val="auto"/>
        </w:rPr>
      </w:pPr>
      <w:r>
        <w:rPr>
          <w:rFonts w:hint="eastAsia" w:ascii="仿宋" w:hAnsi="仿宋" w:eastAsia="仿宋" w:cs="仿宋"/>
          <w:color w:val="auto"/>
        </w:rPr>
        <w:t>廉洁承诺书</w:t>
      </w:r>
      <w:r>
        <w:rPr>
          <w:rFonts w:hint="eastAsia" w:ascii="仿宋" w:hAnsi="仿宋" w:eastAsia="仿宋" w:cs="仿宋"/>
          <w:color w:val="auto"/>
        </w:rPr>
        <w:br w:type="textWrapping"/>
      </w:r>
      <w:r>
        <w:rPr>
          <w:rFonts w:hint="eastAsia" w:ascii="仿宋" w:hAnsi="仿宋" w:eastAsia="仿宋" w:cs="仿宋"/>
          <w:color w:val="auto"/>
        </w:rPr>
        <w:t> </w:t>
      </w:r>
      <w:r>
        <w:rPr>
          <w:rFonts w:hint="eastAsia" w:ascii="仿宋" w:hAnsi="仿宋" w:eastAsia="仿宋" w:cs="仿宋"/>
          <w:color w:val="auto"/>
        </w:rPr>
        <w:br w:type="textWrapping"/>
      </w:r>
      <w:r>
        <w:rPr>
          <w:rFonts w:hint="eastAsia" w:ascii="仿宋" w:hAnsi="仿宋" w:eastAsia="仿宋" w:cs="仿宋"/>
          <w:color w:val="auto"/>
        </w:rPr>
        <w:t>    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精神病医院反商业贿赂工作实际，依法保护双方在药品、医用设备、医用耗材等购销活动中的合法权益，承诺如下：</w:t>
      </w:r>
      <w:r>
        <w:rPr>
          <w:rFonts w:hint="eastAsia" w:ascii="仿宋" w:hAnsi="仿宋" w:eastAsia="仿宋" w:cs="仿宋"/>
          <w:color w:val="auto"/>
        </w:rPr>
        <w:br w:type="textWrapping"/>
      </w:r>
      <w:r>
        <w:rPr>
          <w:rFonts w:hint="eastAsia" w:ascii="仿宋" w:hAnsi="仿宋" w:eastAsia="仿宋" w:cs="仿宋"/>
          <w:color w:val="auto"/>
        </w:rPr>
        <w:t>一、进一步统一思想，充分认识开展治理商业贿赂专项治理的重要性、紧迫性和必要性。</w:t>
      </w:r>
      <w:r>
        <w:rPr>
          <w:rFonts w:hint="eastAsia" w:ascii="仿宋" w:hAnsi="仿宋" w:eastAsia="仿宋" w:cs="仿宋"/>
          <w:color w:val="auto"/>
        </w:rPr>
        <w:br w:type="textWrapping"/>
      </w:r>
      <w:r>
        <w:rPr>
          <w:rFonts w:hint="eastAsia" w:ascii="仿宋" w:hAnsi="仿宋" w:eastAsia="仿宋" w:cs="仿宋"/>
          <w:color w:val="auto"/>
        </w:rPr>
        <w:t>二、应积极配合医院开展自查自纠工作，积极配合对相关医务人员的商业贿赂行为进行查处。</w:t>
      </w:r>
      <w:r>
        <w:rPr>
          <w:rFonts w:hint="eastAsia" w:ascii="仿宋" w:hAnsi="仿宋" w:eastAsia="仿宋" w:cs="仿宋"/>
          <w:color w:val="auto"/>
        </w:rPr>
        <w:br w:type="textWrapping"/>
      </w:r>
      <w:r>
        <w:rPr>
          <w:rFonts w:hint="eastAsia" w:ascii="仿宋" w:hAnsi="仿宋" w:eastAsia="仿宋" w:cs="仿宋"/>
          <w:color w:val="auto"/>
        </w:rPr>
        <w:t>三、不找有关领导干涉药品、医用设备、医用耗材等购销活动，不以贿赂的方式将上述商品销售到医院。</w:t>
      </w:r>
      <w:r>
        <w:rPr>
          <w:rFonts w:hint="eastAsia" w:ascii="仿宋" w:hAnsi="仿宋" w:eastAsia="仿宋" w:cs="仿宋"/>
          <w:color w:val="auto"/>
        </w:rPr>
        <w:br w:type="textWrapping"/>
      </w:r>
      <w:r>
        <w:rPr>
          <w:rFonts w:hint="eastAsia" w:ascii="仿宋" w:hAnsi="仿宋" w:eastAsia="仿宋" w:cs="仿宋"/>
          <w:color w:val="auto"/>
        </w:rPr>
        <w:t>四、不向药品、医用设备、医用耗材等购销人员给予各种名义的财物或回扣。</w:t>
      </w:r>
      <w:r>
        <w:rPr>
          <w:rFonts w:hint="eastAsia" w:ascii="仿宋" w:hAnsi="仿宋" w:eastAsia="仿宋" w:cs="仿宋"/>
          <w:color w:val="auto"/>
        </w:rPr>
        <w:br w:type="textWrapping"/>
      </w:r>
      <w:r>
        <w:rPr>
          <w:rFonts w:hint="eastAsia" w:ascii="仿宋" w:hAnsi="仿宋" w:eastAsia="仿宋" w:cs="仿宋"/>
          <w:color w:val="auto"/>
        </w:rPr>
        <w:t>五、不向从事药品、医用设备、医用耗材等相关活动的人员给予开单费、临床促销费、宣传费、劳务费、统方费等费用。</w:t>
      </w:r>
      <w:r>
        <w:rPr>
          <w:rFonts w:hint="eastAsia" w:ascii="仿宋" w:hAnsi="仿宋" w:eastAsia="仿宋" w:cs="仿宋"/>
          <w:color w:val="auto"/>
        </w:rPr>
        <w:br w:type="textWrapping"/>
      </w:r>
      <w:r>
        <w:rPr>
          <w:rFonts w:hint="eastAsia" w:ascii="仿宋" w:hAnsi="仿宋" w:eastAsia="仿宋" w:cs="仿宋"/>
          <w:color w:val="auto"/>
        </w:rPr>
        <w:t>六、不为医院相关人员报销电话费、娱乐费、差旅费、餐费等应由本人支付的各种费用。</w:t>
      </w:r>
      <w:r>
        <w:rPr>
          <w:rFonts w:hint="eastAsia" w:ascii="仿宋" w:hAnsi="仿宋" w:eastAsia="仿宋" w:cs="仿宋"/>
          <w:color w:val="auto"/>
        </w:rPr>
        <w:br w:type="textWrapping"/>
      </w:r>
      <w:r>
        <w:rPr>
          <w:rFonts w:hint="eastAsia" w:ascii="仿宋" w:hAnsi="仿宋" w:eastAsia="仿宋" w:cs="仿宋"/>
          <w:color w:val="auto"/>
        </w:rPr>
        <w:t>七、不组织甲方相关人员参加国内外旅游、座谈会、学术会等活动。</w:t>
      </w:r>
      <w:r>
        <w:rPr>
          <w:rFonts w:hint="eastAsia" w:ascii="仿宋" w:hAnsi="仿宋" w:eastAsia="仿宋" w:cs="仿宋"/>
          <w:color w:val="auto"/>
        </w:rPr>
        <w:br w:type="textWrapping"/>
      </w:r>
      <w:r>
        <w:rPr>
          <w:rFonts w:hint="eastAsia" w:ascii="仿宋" w:hAnsi="仿宋" w:eastAsia="仿宋" w:cs="仿宋"/>
          <w:color w:val="auto"/>
        </w:rPr>
        <w:t>八、不向甲方相关人员赠送各种实物及有价证券。</w:t>
      </w:r>
      <w:r>
        <w:rPr>
          <w:rFonts w:hint="eastAsia" w:ascii="仿宋" w:hAnsi="仿宋" w:eastAsia="仿宋" w:cs="仿宋"/>
          <w:color w:val="auto"/>
        </w:rPr>
        <w:br w:type="textWrapping"/>
      </w:r>
      <w:r>
        <w:rPr>
          <w:rFonts w:hint="eastAsia" w:ascii="仿宋" w:hAnsi="仿宋" w:eastAsia="仿宋" w:cs="仿宋"/>
          <w:color w:val="auto"/>
        </w:rPr>
        <w:t>九、不派工作人员到医院临床科室进行药品、医用设备、医用耗材的广告宣传。</w:t>
      </w:r>
      <w:r>
        <w:rPr>
          <w:rFonts w:hint="eastAsia" w:ascii="仿宋" w:hAnsi="仿宋" w:eastAsia="仿宋" w:cs="仿宋"/>
          <w:color w:val="auto"/>
        </w:rPr>
        <w:br w:type="textWrapping"/>
      </w:r>
      <w:r>
        <w:rPr>
          <w:rFonts w:hint="eastAsia" w:ascii="仿宋" w:hAnsi="仿宋" w:eastAsia="仿宋" w:cs="仿宋"/>
          <w:color w:val="auto"/>
        </w:rPr>
        <w:t>十、不以任何理由向医院及其相关人员进行商业贿赂。</w:t>
      </w:r>
      <w:r>
        <w:rPr>
          <w:rFonts w:hint="eastAsia" w:ascii="仿宋" w:hAnsi="仿宋" w:eastAsia="仿宋" w:cs="仿宋"/>
          <w:color w:val="auto"/>
        </w:rPr>
        <w:br w:type="textWrapping"/>
      </w:r>
      <w:r>
        <w:rPr>
          <w:rFonts w:hint="eastAsia" w:ascii="仿宋" w:hAnsi="仿宋" w:eastAsia="仿宋" w:cs="仿宋"/>
          <w:color w:val="auto"/>
        </w:rPr>
        <w:t>十一、如违反上述约定，医院有权单方终止现有购销关系，若违反承诺条款，公司承诺：三年内无权参加医院所有的采购活动。</w:t>
      </w:r>
      <w:r>
        <w:rPr>
          <w:rFonts w:hint="eastAsia" w:ascii="仿宋" w:hAnsi="仿宋" w:eastAsia="仿宋" w:cs="仿宋"/>
          <w:color w:val="auto"/>
        </w:rPr>
        <w:br w:type="textWrapping"/>
      </w:r>
      <w:r>
        <w:rPr>
          <w:rFonts w:hint="eastAsia" w:ascii="仿宋" w:hAnsi="仿宋" w:eastAsia="仿宋" w:cs="仿宋"/>
          <w:color w:val="auto"/>
        </w:rPr>
        <w:t>十二、违反上述约定，应向医院支付违约金贰万元，医院可直接在双方购销款中扣除。</w:t>
      </w:r>
      <w:r>
        <w:rPr>
          <w:rFonts w:hint="eastAsia" w:ascii="仿宋" w:hAnsi="仿宋" w:eastAsia="仿宋" w:cs="仿宋"/>
          <w:color w:val="auto"/>
        </w:rPr>
        <w:br w:type="textWrapping"/>
      </w:r>
      <w:r>
        <w:rPr>
          <w:rFonts w:hint="eastAsia" w:ascii="仿宋" w:hAnsi="仿宋" w:eastAsia="仿宋" w:cs="仿宋"/>
          <w:color w:val="auto"/>
        </w:rPr>
        <w:t> </w:t>
      </w:r>
      <w:r>
        <w:rPr>
          <w:rFonts w:hint="eastAsia" w:ascii="仿宋" w:hAnsi="仿宋" w:eastAsia="仿宋" w:cs="仿宋"/>
          <w:color w:val="auto"/>
        </w:rPr>
        <w:br w:type="textWrapping"/>
      </w:r>
      <w:r>
        <w:rPr>
          <w:rFonts w:hint="eastAsia" w:ascii="仿宋" w:hAnsi="仿宋" w:eastAsia="仿宋" w:cs="仿宋"/>
          <w:color w:val="auto"/>
        </w:rPr>
        <w:t>                </w:t>
      </w:r>
      <w:r>
        <w:rPr>
          <w:rFonts w:hint="eastAsia" w:ascii="仿宋" w:hAnsi="仿宋" w:eastAsia="仿宋" w:cs="仿宋"/>
          <w:color w:val="auto"/>
        </w:rPr>
        <w:br w:type="textWrapping"/>
      </w:r>
      <w:r>
        <w:rPr>
          <w:rFonts w:hint="eastAsia" w:ascii="仿宋" w:hAnsi="仿宋" w:eastAsia="仿宋" w:cs="仿宋"/>
          <w:color w:val="auto"/>
        </w:rPr>
        <w:t>                                                                          承诺公司：（盖章）</w:t>
      </w:r>
      <w:r>
        <w:rPr>
          <w:rFonts w:hint="eastAsia" w:ascii="仿宋" w:hAnsi="仿宋" w:eastAsia="仿宋" w:cs="仿宋"/>
          <w:color w:val="auto"/>
        </w:rPr>
        <w:br w:type="textWrapping"/>
      </w:r>
      <w:r>
        <w:rPr>
          <w:rFonts w:hint="eastAsia" w:ascii="仿宋" w:hAnsi="仿宋" w:eastAsia="仿宋" w:cs="仿宋"/>
          <w:color w:val="auto"/>
        </w:rPr>
        <w:t>                                                                          承诺代表：</w:t>
      </w:r>
      <w:r>
        <w:rPr>
          <w:rFonts w:hint="eastAsia" w:ascii="仿宋" w:hAnsi="仿宋" w:eastAsia="仿宋" w:cs="仿宋"/>
          <w:color w:val="auto"/>
        </w:rPr>
        <w:br w:type="textWrapping"/>
      </w:r>
      <w:r>
        <w:rPr>
          <w:rFonts w:hint="eastAsia" w:ascii="仿宋" w:hAnsi="仿宋" w:eastAsia="仿宋" w:cs="仿宋"/>
          <w:color w:val="auto"/>
        </w:rPr>
        <w:t>                                                                          承诺时间：2024年   月   日</w:t>
      </w:r>
    </w:p>
    <w:p>
      <w:pPr>
        <w:spacing w:line="220" w:lineRule="atLeast"/>
        <w:rPr>
          <w:rFonts w:hint="eastAsia" w:ascii="仿宋" w:hAnsi="仿宋" w:eastAsia="仿宋" w:cs="仿宋"/>
          <w:color w:val="auto"/>
        </w:rPr>
      </w:pPr>
      <w:r>
        <w:rPr>
          <w:rFonts w:hint="eastAsia" w:ascii="仿宋" w:hAnsi="仿宋" w:eastAsia="仿宋" w:cs="仿宋"/>
          <w:color w:val="auto"/>
        </w:rPr>
        <w:t> </w:t>
      </w:r>
    </w:p>
    <w:p>
      <w:pPr>
        <w:spacing w:line="220" w:lineRule="atLeast"/>
        <w:rPr>
          <w:rFonts w:hint="eastAsia" w:ascii="仿宋" w:hAnsi="仿宋" w:eastAsia="仿宋" w:cs="仿宋"/>
          <w:color w:val="auto"/>
        </w:rPr>
      </w:pPr>
      <w:r>
        <w:rPr>
          <w:rFonts w:hint="eastAsia" w:ascii="仿宋" w:hAnsi="仿宋" w:eastAsia="仿宋" w:cs="仿宋"/>
          <w:color w:val="auto"/>
        </w:rPr>
        <w:t> </w:t>
      </w:r>
    </w:p>
    <w:p>
      <w:pPr>
        <w:spacing w:line="220" w:lineRule="atLeast"/>
        <w:rPr>
          <w:rFonts w:hint="eastAsia" w:ascii="仿宋" w:hAnsi="仿宋" w:eastAsia="仿宋" w:cs="仿宋"/>
          <w:color w:val="auto"/>
        </w:rPr>
      </w:pPr>
    </w:p>
    <w:p>
      <w:pPr>
        <w:spacing w:line="220" w:lineRule="atLeast"/>
        <w:rPr>
          <w:rFonts w:hint="eastAsia" w:ascii="仿宋" w:hAnsi="仿宋" w:eastAsia="仿宋" w:cs="仿宋"/>
          <w:color w:val="auto"/>
        </w:rPr>
      </w:pPr>
    </w:p>
    <w:p>
      <w:pPr>
        <w:spacing w:line="220" w:lineRule="atLeast"/>
        <w:rPr>
          <w:rFonts w:hint="eastAsia" w:ascii="仿宋" w:hAnsi="仿宋" w:eastAsia="仿宋" w:cs="仿宋"/>
          <w:color w:val="auto"/>
        </w:rPr>
      </w:pPr>
    </w:p>
    <w:p>
      <w:pPr>
        <w:spacing w:line="220" w:lineRule="atLeast"/>
        <w:rPr>
          <w:rFonts w:hint="eastAsia" w:ascii="仿宋" w:hAnsi="仿宋" w:eastAsia="仿宋" w:cs="仿宋"/>
          <w:color w:val="auto"/>
        </w:rPr>
      </w:pPr>
      <w:r>
        <w:rPr>
          <w:rFonts w:hint="eastAsia" w:ascii="仿宋" w:hAnsi="仿宋" w:eastAsia="仿宋" w:cs="仿宋"/>
          <w:color w:val="auto"/>
        </w:rPr>
        <w:t>附件二：</w:t>
      </w:r>
    </w:p>
    <w:p>
      <w:pPr>
        <w:spacing w:line="220" w:lineRule="atLeast"/>
        <w:jc w:val="center"/>
        <w:rPr>
          <w:rFonts w:hint="eastAsia" w:ascii="仿宋" w:hAnsi="仿宋" w:eastAsia="仿宋" w:cs="仿宋"/>
          <w:color w:val="auto"/>
        </w:rPr>
      </w:pPr>
      <w:r>
        <w:rPr>
          <w:rFonts w:hint="eastAsia" w:ascii="仿宋" w:hAnsi="仿宋" w:eastAsia="仿宋" w:cs="仿宋"/>
          <w:color w:val="auto"/>
        </w:rPr>
        <w:t>党建阵地设计制作安装服务采购项目（参考模版）</w:t>
      </w:r>
    </w:p>
    <w:p>
      <w:pPr>
        <w:spacing w:line="220" w:lineRule="atLeast"/>
        <w:rPr>
          <w:rFonts w:hint="eastAsia" w:ascii="仿宋" w:hAnsi="仿宋" w:eastAsia="仿宋" w:cs="仿宋"/>
          <w:color w:val="auto"/>
        </w:rPr>
      </w:pPr>
      <w:r>
        <w:rPr>
          <w:rFonts w:hint="eastAsia" w:ascii="仿宋" w:hAnsi="仿宋" w:eastAsia="仿宋" w:cs="仿宋"/>
          <w:color w:val="auto"/>
        </w:rPr>
        <w:t> </w:t>
      </w:r>
    </w:p>
    <w:p>
      <w:pPr>
        <w:spacing w:line="220" w:lineRule="atLeast"/>
        <w:rPr>
          <w:rFonts w:hint="eastAsia" w:ascii="仿宋" w:hAnsi="仿宋" w:eastAsia="仿宋" w:cs="仿宋"/>
          <w:color w:val="auto"/>
        </w:rPr>
      </w:pPr>
      <w:r>
        <w:rPr>
          <w:rFonts w:hint="eastAsia" w:ascii="仿宋" w:hAnsi="仿宋" w:eastAsia="仿宋" w:cs="仿宋"/>
          <w:color w:val="auto"/>
        </w:rPr>
        <w:t>签订时间：      年　月　日</w:t>
      </w:r>
    </w:p>
    <w:p>
      <w:pPr>
        <w:spacing w:line="220" w:lineRule="atLeast"/>
        <w:rPr>
          <w:rFonts w:hint="eastAsia" w:ascii="仿宋" w:hAnsi="仿宋" w:eastAsia="仿宋" w:cs="仿宋"/>
          <w:color w:val="auto"/>
        </w:rPr>
      </w:pPr>
      <w:r>
        <w:rPr>
          <w:rFonts w:hint="eastAsia" w:ascii="仿宋" w:hAnsi="仿宋" w:eastAsia="仿宋" w:cs="仿宋"/>
          <w:color w:val="auto"/>
        </w:rPr>
        <w:t>采购人（甲方）：资阳市精神病医院</w:t>
      </w:r>
    </w:p>
    <w:p>
      <w:pPr>
        <w:spacing w:line="220" w:lineRule="atLeast"/>
        <w:rPr>
          <w:rFonts w:hint="eastAsia" w:ascii="仿宋" w:hAnsi="仿宋" w:eastAsia="仿宋" w:cs="仿宋"/>
          <w:color w:val="auto"/>
        </w:rPr>
      </w:pPr>
      <w:r>
        <w:rPr>
          <w:rFonts w:hint="eastAsia" w:ascii="仿宋" w:hAnsi="仿宋" w:eastAsia="仿宋" w:cs="仿宋"/>
          <w:color w:val="auto"/>
        </w:rPr>
        <w:t>供应商（乙方）：</w:t>
      </w:r>
    </w:p>
    <w:p>
      <w:pPr>
        <w:spacing w:line="220" w:lineRule="atLeast"/>
        <w:rPr>
          <w:rFonts w:hint="eastAsia" w:ascii="仿宋" w:hAnsi="仿宋" w:eastAsia="仿宋" w:cs="仿宋"/>
          <w:color w:val="auto"/>
        </w:rPr>
      </w:pPr>
      <w:r>
        <w:rPr>
          <w:rFonts w:hint="eastAsia" w:ascii="仿宋" w:hAnsi="仿宋" w:eastAsia="仿宋" w:cs="仿宋"/>
          <w:color w:val="auto"/>
        </w:rPr>
        <w:t>根据《中华人民共和国政府采购法》《中华人民共和国民法典》等法律法规及资阳市精神病医院             采购项目的“采购要求”、乙方的“响应情况”，甲、乙双方同意签订本合同。双方同意共同遵守如下条款：</w:t>
      </w:r>
      <w:bookmarkStart w:id="0" w:name="_Toc217446107"/>
      <w:bookmarkEnd w:id="0"/>
    </w:p>
    <w:p>
      <w:pPr>
        <w:spacing w:line="220" w:lineRule="atLeast"/>
        <w:rPr>
          <w:rFonts w:hint="eastAsia" w:ascii="仿宋" w:hAnsi="仿宋" w:eastAsia="仿宋" w:cs="仿宋"/>
          <w:color w:val="auto"/>
        </w:rPr>
      </w:pPr>
      <w:r>
        <w:rPr>
          <w:rFonts w:hint="eastAsia" w:ascii="仿宋" w:hAnsi="仿宋" w:eastAsia="仿宋" w:cs="仿宋"/>
          <w:color w:val="auto"/>
        </w:rPr>
        <w:t>一、合同产品</w:t>
      </w:r>
    </w:p>
    <w:p>
      <w:pPr>
        <w:spacing w:line="220" w:lineRule="atLeast"/>
        <w:rPr>
          <w:rFonts w:hint="eastAsia" w:ascii="仿宋" w:hAnsi="仿宋" w:eastAsia="仿宋" w:cs="仿宋"/>
          <w:color w:val="auto"/>
        </w:rPr>
      </w:pPr>
      <w:bookmarkStart w:id="1" w:name="_Toc217446108"/>
      <w:bookmarkEnd w:id="1"/>
      <w:r>
        <w:rPr>
          <w:rFonts w:hint="eastAsia" w:ascii="仿宋" w:hAnsi="仿宋" w:eastAsia="仿宋" w:cs="仿宋"/>
          <w:color w:val="auto"/>
        </w:rPr>
        <w:t> </w:t>
      </w:r>
    </w:p>
    <w:tbl>
      <w:tblPr>
        <w:tblStyle w:val="3"/>
        <w:tblpPr w:leftFromText="180" w:rightFromText="180" w:vertAnchor="text" w:horzAnchor="page" w:tblpX="1994" w:tblpY="44"/>
        <w:tblOverlap w:val="never"/>
        <w:tblW w:w="8557" w:type="dxa"/>
        <w:tblInd w:w="0" w:type="dxa"/>
        <w:tblLayout w:type="fixed"/>
        <w:tblCellMar>
          <w:top w:w="0" w:type="dxa"/>
          <w:left w:w="10" w:type="dxa"/>
          <w:bottom w:w="0" w:type="dxa"/>
          <w:right w:w="10" w:type="dxa"/>
        </w:tblCellMar>
      </w:tblPr>
      <w:tblGrid>
        <w:gridCol w:w="1767"/>
        <w:gridCol w:w="2084"/>
        <w:gridCol w:w="1546"/>
        <w:gridCol w:w="1134"/>
        <w:gridCol w:w="850"/>
        <w:gridCol w:w="1176"/>
      </w:tblGrid>
      <w:tr>
        <w:tblPrEx>
          <w:tblCellMar>
            <w:top w:w="0" w:type="dxa"/>
            <w:left w:w="10" w:type="dxa"/>
            <w:bottom w:w="0" w:type="dxa"/>
            <w:right w:w="10" w:type="dxa"/>
          </w:tblCellMar>
        </w:tblPrEx>
        <w:trPr>
          <w:trHeight w:val="534" w:hRule="exact"/>
        </w:trPr>
        <w:tc>
          <w:tcPr>
            <w:tcW w:w="176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after="0"/>
              <w:ind w:firstLine="280"/>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项目</w:t>
            </w:r>
            <w:r>
              <w:rPr>
                <w:rFonts w:hint="eastAsia" w:ascii="仿宋" w:hAnsi="仿宋" w:eastAsia="仿宋" w:cs="仿宋"/>
                <w:color w:val="auto"/>
                <w:sz w:val="18"/>
                <w:szCs w:val="18"/>
              </w:rPr>
              <w:t>名称</w:t>
            </w:r>
          </w:p>
        </w:tc>
        <w:tc>
          <w:tcPr>
            <w:tcW w:w="20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after="0"/>
              <w:jc w:val="center"/>
              <w:rPr>
                <w:rFonts w:hint="eastAsia" w:ascii="仿宋" w:hAnsi="仿宋" w:eastAsia="仿宋" w:cs="仿宋"/>
                <w:color w:val="auto"/>
                <w:sz w:val="18"/>
                <w:szCs w:val="18"/>
              </w:rPr>
            </w:pPr>
            <w:r>
              <w:rPr>
                <w:rFonts w:hint="eastAsia" w:ascii="仿宋" w:hAnsi="仿宋" w:eastAsia="仿宋" w:cs="仿宋"/>
                <w:color w:val="auto"/>
                <w:sz w:val="18"/>
                <w:szCs w:val="18"/>
              </w:rPr>
              <w:t>型号</w:t>
            </w:r>
          </w:p>
        </w:tc>
        <w:tc>
          <w:tcPr>
            <w:tcW w:w="15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after="0"/>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技术参数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after="0"/>
              <w:jc w:val="center"/>
              <w:rPr>
                <w:rFonts w:hint="eastAsia" w:ascii="仿宋" w:hAnsi="仿宋" w:eastAsia="仿宋" w:cs="仿宋"/>
                <w:color w:val="auto"/>
                <w:sz w:val="18"/>
                <w:szCs w:val="18"/>
              </w:rPr>
            </w:pPr>
            <w:r>
              <w:rPr>
                <w:rFonts w:hint="eastAsia" w:ascii="仿宋" w:hAnsi="仿宋" w:eastAsia="仿宋" w:cs="仿宋"/>
                <w:color w:val="auto"/>
                <w:sz w:val="18"/>
                <w:szCs w:val="18"/>
              </w:rPr>
              <w:t>数量</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after="0"/>
              <w:jc w:val="center"/>
              <w:rPr>
                <w:rFonts w:hint="eastAsia" w:ascii="仿宋" w:hAnsi="仿宋" w:eastAsia="仿宋" w:cs="仿宋"/>
                <w:color w:val="auto"/>
                <w:sz w:val="18"/>
                <w:szCs w:val="18"/>
              </w:rPr>
            </w:pPr>
            <w:r>
              <w:rPr>
                <w:rFonts w:hint="eastAsia" w:ascii="仿宋" w:hAnsi="仿宋" w:eastAsia="仿宋" w:cs="仿宋"/>
                <w:color w:val="auto"/>
                <w:sz w:val="18"/>
                <w:szCs w:val="18"/>
              </w:rPr>
              <w:t>单位</w:t>
            </w:r>
          </w:p>
        </w:tc>
        <w:tc>
          <w:tcPr>
            <w:tcW w:w="11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after="0"/>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单价</w:t>
            </w:r>
          </w:p>
        </w:tc>
      </w:tr>
      <w:tr>
        <w:tblPrEx>
          <w:tblCellMar>
            <w:top w:w="0" w:type="dxa"/>
            <w:left w:w="10" w:type="dxa"/>
            <w:bottom w:w="0" w:type="dxa"/>
            <w:right w:w="10" w:type="dxa"/>
          </w:tblCellMar>
        </w:tblPrEx>
        <w:trPr>
          <w:trHeight w:val="1528" w:hRule="exact"/>
        </w:trPr>
        <w:tc>
          <w:tcPr>
            <w:tcW w:w="176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after="0"/>
              <w:jc w:val="center"/>
              <w:rPr>
                <w:rFonts w:hint="eastAsia" w:ascii="仿宋" w:hAnsi="仿宋" w:eastAsia="仿宋" w:cs="仿宋"/>
                <w:color w:val="auto"/>
                <w:sz w:val="18"/>
                <w:szCs w:val="18"/>
              </w:rPr>
            </w:pPr>
          </w:p>
        </w:tc>
        <w:tc>
          <w:tcPr>
            <w:tcW w:w="20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after="0"/>
              <w:jc w:val="center"/>
              <w:rPr>
                <w:rFonts w:hint="eastAsia" w:ascii="仿宋" w:hAnsi="仿宋" w:eastAsia="仿宋" w:cs="仿宋"/>
                <w:color w:val="auto"/>
              </w:rPr>
            </w:pPr>
          </w:p>
        </w:tc>
        <w:tc>
          <w:tcPr>
            <w:tcW w:w="15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after="0"/>
              <w:jc w:val="center"/>
              <w:rPr>
                <w:rFonts w:hint="eastAsia" w:ascii="仿宋" w:hAnsi="仿宋" w:eastAsia="仿宋" w:cs="仿宋"/>
                <w:color w:val="auto"/>
                <w:lang w:val="en-US" w:eastAsia="zh-CN"/>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after="0"/>
              <w:jc w:val="center"/>
              <w:rPr>
                <w:rFonts w:hint="eastAsia" w:ascii="仿宋" w:hAnsi="仿宋" w:eastAsia="仿宋" w:cs="仿宋"/>
                <w:color w:val="auto"/>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after="0"/>
              <w:jc w:val="center"/>
              <w:rPr>
                <w:rFonts w:hint="eastAsia" w:ascii="仿宋" w:hAnsi="仿宋" w:eastAsia="仿宋" w:cs="仿宋"/>
                <w:color w:val="auto"/>
                <w:sz w:val="18"/>
                <w:szCs w:val="18"/>
              </w:rPr>
            </w:pPr>
          </w:p>
        </w:tc>
        <w:tc>
          <w:tcPr>
            <w:tcW w:w="11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after="0"/>
              <w:jc w:val="center"/>
              <w:rPr>
                <w:rFonts w:hint="eastAsia" w:ascii="仿宋" w:hAnsi="仿宋" w:eastAsia="仿宋" w:cs="仿宋"/>
                <w:color w:val="auto"/>
                <w:sz w:val="18"/>
                <w:szCs w:val="18"/>
              </w:rPr>
            </w:pPr>
          </w:p>
        </w:tc>
      </w:tr>
      <w:tr>
        <w:tblPrEx>
          <w:tblCellMar>
            <w:top w:w="0" w:type="dxa"/>
            <w:left w:w="10" w:type="dxa"/>
            <w:bottom w:w="0" w:type="dxa"/>
            <w:right w:w="10" w:type="dxa"/>
          </w:tblCellMar>
        </w:tblPrEx>
        <w:trPr>
          <w:trHeight w:val="534" w:hRule="exact"/>
        </w:trPr>
        <w:tc>
          <w:tcPr>
            <w:tcW w:w="738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after="0"/>
              <w:ind w:left="60"/>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合计</w:t>
            </w:r>
          </w:p>
        </w:tc>
        <w:tc>
          <w:tcPr>
            <w:tcW w:w="11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after="0"/>
              <w:ind w:left="60"/>
              <w:jc w:val="center"/>
              <w:rPr>
                <w:rFonts w:hint="eastAsia" w:ascii="仿宋" w:hAnsi="仿宋" w:eastAsia="仿宋" w:cs="仿宋"/>
                <w:color w:val="auto"/>
                <w:sz w:val="18"/>
                <w:szCs w:val="18"/>
                <w:lang w:eastAsia="zh-CN"/>
              </w:rPr>
            </w:pPr>
          </w:p>
        </w:tc>
      </w:tr>
    </w:tbl>
    <w:p>
      <w:pPr>
        <w:spacing w:line="220" w:lineRule="atLeast"/>
        <w:rPr>
          <w:rFonts w:hint="eastAsia" w:ascii="仿宋" w:hAnsi="仿宋" w:eastAsia="仿宋" w:cs="仿宋"/>
          <w:color w:val="auto"/>
        </w:rPr>
      </w:pPr>
      <w:r>
        <w:rPr>
          <w:rFonts w:hint="eastAsia" w:ascii="仿宋" w:hAnsi="仿宋" w:eastAsia="仿宋" w:cs="仿宋"/>
          <w:color w:val="auto"/>
        </w:rPr>
        <w:t>二、合同总价</w:t>
      </w:r>
    </w:p>
    <w:p>
      <w:pPr>
        <w:spacing w:line="220" w:lineRule="atLeast"/>
        <w:rPr>
          <w:rFonts w:hint="eastAsia" w:ascii="仿宋" w:hAnsi="仿宋" w:eastAsia="仿宋" w:cs="仿宋"/>
          <w:color w:val="auto"/>
        </w:rPr>
      </w:pPr>
      <w:r>
        <w:rPr>
          <w:rFonts w:hint="eastAsia" w:ascii="仿宋" w:hAnsi="仿宋" w:eastAsia="仿宋" w:cs="仿宋"/>
          <w:color w:val="auto"/>
        </w:rPr>
        <w:t>合同总价为人民币大写：    元整，即RMB￥：        元；该合同总价已包括产品或服务验收合格交付使用之前及保修期内保修服务与备用物件等所有其他有关各项的含税费用。甲方无须另向乙方支付本合同规定之外的其他任何费用。</w:t>
      </w:r>
    </w:p>
    <w:p>
      <w:pPr>
        <w:spacing w:line="220" w:lineRule="atLeast"/>
        <w:rPr>
          <w:rFonts w:hint="eastAsia" w:ascii="仿宋" w:hAnsi="仿宋" w:eastAsia="仿宋" w:cs="仿宋"/>
          <w:color w:val="auto"/>
        </w:rPr>
      </w:pPr>
      <w:bookmarkStart w:id="2" w:name="_Toc217446109"/>
      <w:bookmarkEnd w:id="2"/>
      <w:r>
        <w:rPr>
          <w:rFonts w:hint="eastAsia" w:ascii="仿宋" w:hAnsi="仿宋" w:eastAsia="仿宋" w:cs="仿宋"/>
          <w:color w:val="auto"/>
        </w:rPr>
        <w:t>三、质量要求</w:t>
      </w:r>
    </w:p>
    <w:p>
      <w:pPr>
        <w:spacing w:line="220" w:lineRule="atLeast"/>
        <w:rPr>
          <w:rFonts w:hint="eastAsia" w:ascii="仿宋" w:hAnsi="仿宋" w:eastAsia="仿宋" w:cs="仿宋"/>
          <w:color w:val="auto"/>
        </w:rPr>
      </w:pPr>
      <w:r>
        <w:rPr>
          <w:rFonts w:hint="eastAsia" w:ascii="仿宋" w:hAnsi="仿宋" w:eastAsia="仿宋" w:cs="仿宋"/>
          <w:color w:val="auto"/>
        </w:rPr>
        <w:t>（一）乙方须提供全新无质量问题的产品（含零部件、配件等），表面无划伤、无碰撞痕迹，且权属清楚，不得侵害他人的知识产权。</w:t>
      </w:r>
    </w:p>
    <w:p>
      <w:pPr>
        <w:spacing w:line="220" w:lineRule="atLeast"/>
        <w:rPr>
          <w:rFonts w:hint="eastAsia" w:ascii="仿宋" w:hAnsi="仿宋" w:eastAsia="仿宋" w:cs="仿宋"/>
          <w:color w:val="auto"/>
        </w:rPr>
      </w:pPr>
      <w:r>
        <w:rPr>
          <w:rFonts w:hint="eastAsia" w:ascii="仿宋" w:hAnsi="仿宋" w:eastAsia="仿宋" w:cs="仿宋"/>
          <w:color w:val="auto"/>
        </w:rPr>
        <w:t>（二）产品或服务必须符合或优于国家（行业）标准，以及本项目采购要求。</w:t>
      </w:r>
    </w:p>
    <w:p>
      <w:pPr>
        <w:spacing w:line="220" w:lineRule="atLeast"/>
        <w:rPr>
          <w:rFonts w:hint="eastAsia" w:ascii="仿宋" w:hAnsi="仿宋" w:eastAsia="仿宋" w:cs="仿宋"/>
          <w:color w:val="auto"/>
        </w:rPr>
      </w:pPr>
      <w:r>
        <w:rPr>
          <w:rFonts w:hint="eastAsia" w:ascii="仿宋" w:hAnsi="仿宋" w:eastAsia="仿宋" w:cs="仿宋"/>
          <w:color w:val="auto"/>
        </w:rPr>
        <w:t>（三）产品质保期：   年。自产品安装调试完毕、设备运行正常、甲乙双方验收合格签字确认之日起计算质保期。</w:t>
      </w:r>
    </w:p>
    <w:p>
      <w:pPr>
        <w:spacing w:line="220" w:lineRule="atLeast"/>
        <w:rPr>
          <w:rFonts w:hint="eastAsia" w:ascii="仿宋" w:hAnsi="仿宋" w:eastAsia="仿宋" w:cs="仿宋"/>
          <w:color w:val="auto"/>
        </w:rPr>
      </w:pPr>
      <w:bookmarkStart w:id="3" w:name="_Toc217446110"/>
      <w:bookmarkEnd w:id="3"/>
      <w:r>
        <w:rPr>
          <w:rFonts w:hint="eastAsia" w:ascii="仿宋" w:hAnsi="仿宋" w:eastAsia="仿宋" w:cs="仿宋"/>
          <w:color w:val="auto"/>
        </w:rPr>
        <w:t>五、安装调试和验收培训</w:t>
      </w:r>
    </w:p>
    <w:p>
      <w:pPr>
        <w:spacing w:line="220" w:lineRule="atLeast"/>
        <w:rPr>
          <w:rFonts w:hint="eastAsia" w:ascii="仿宋" w:hAnsi="仿宋" w:eastAsia="仿宋" w:cs="仿宋"/>
          <w:color w:val="auto"/>
        </w:rPr>
      </w:pPr>
      <w:r>
        <w:rPr>
          <w:rFonts w:hint="eastAsia" w:ascii="仿宋" w:hAnsi="仿宋" w:eastAsia="仿宋" w:cs="仿宋"/>
          <w:color w:val="auto"/>
        </w:rPr>
        <w:t>乙方应就产品的正常使用等对甲方人员进行免费培训和协助。</w:t>
      </w:r>
    </w:p>
    <w:p>
      <w:pPr>
        <w:spacing w:line="220" w:lineRule="atLeast"/>
        <w:rPr>
          <w:rFonts w:hint="eastAsia" w:ascii="仿宋" w:hAnsi="仿宋" w:eastAsia="仿宋" w:cs="仿宋"/>
          <w:color w:val="auto"/>
        </w:rPr>
      </w:pPr>
      <w:bookmarkStart w:id="4" w:name="_Toc217446111"/>
      <w:bookmarkEnd w:id="4"/>
      <w:r>
        <w:rPr>
          <w:rFonts w:hint="eastAsia" w:ascii="仿宋" w:hAnsi="仿宋" w:eastAsia="仿宋" w:cs="仿宋"/>
          <w:color w:val="auto"/>
        </w:rPr>
        <w:t>六、付款方式（三选一）：本合同选择</w:t>
      </w:r>
      <w:r>
        <w:rPr>
          <w:rFonts w:hint="eastAsia" w:ascii="仿宋" w:hAnsi="仿宋" w:eastAsia="仿宋" w:cs="仿宋"/>
          <w:color w:val="auto"/>
          <w:u w:val="single"/>
        </w:rPr>
        <w:t> 付款方式（一）</w:t>
      </w:r>
      <w:r>
        <w:rPr>
          <w:rFonts w:hint="eastAsia" w:ascii="仿宋" w:hAnsi="仿宋" w:eastAsia="仿宋" w:cs="仿宋"/>
          <w:color w:val="auto"/>
        </w:rPr>
        <w:t>。</w:t>
      </w:r>
    </w:p>
    <w:p>
      <w:pPr>
        <w:spacing w:line="220" w:lineRule="atLeast"/>
        <w:rPr>
          <w:rFonts w:hint="eastAsia" w:ascii="仿宋" w:hAnsi="仿宋" w:eastAsia="仿宋" w:cs="仿宋"/>
          <w:color w:val="auto"/>
        </w:rPr>
      </w:pPr>
      <w:r>
        <w:rPr>
          <w:rFonts w:hint="eastAsia" w:ascii="仿宋" w:hAnsi="仿宋" w:eastAsia="仿宋" w:cs="仿宋"/>
          <w:color w:val="auto"/>
        </w:rPr>
        <w:t>☑付款方式（一）：合同签订完成且在收到乙方出具合法有效完整的完税发票及凭证资料后的次月内，付合同总金额的90%，即人民币：           元（人民币大写：         元整）, 服务期满且在收到乙方出具合法有效完整的完税发票及凭证资料后的次月内, 付合同总金额的10%，即人民币：           元（人民币大写：         元整）。</w:t>
      </w:r>
    </w:p>
    <w:p>
      <w:pPr>
        <w:spacing w:line="220" w:lineRule="atLeast"/>
        <w:rPr>
          <w:rFonts w:hint="eastAsia" w:ascii="仿宋" w:hAnsi="仿宋" w:eastAsia="仿宋" w:cs="仿宋"/>
          <w:color w:val="auto"/>
        </w:rPr>
      </w:pPr>
      <w:r>
        <w:rPr>
          <w:rFonts w:hint="eastAsia" w:ascii="仿宋" w:hAnsi="仿宋" w:eastAsia="仿宋" w:cs="仿宋"/>
          <w:color w:val="auto"/>
        </w:rPr>
        <w:t>□付款方式（二）：甲方收到产品验收入库、发票齐全、正常使用完后，即可按照甲方账期进行滚动付款。</w:t>
      </w:r>
      <w:bookmarkStart w:id="5" w:name="_Toc217446115"/>
      <w:bookmarkEnd w:id="5"/>
    </w:p>
    <w:p>
      <w:pPr>
        <w:spacing w:line="220" w:lineRule="atLeast"/>
        <w:rPr>
          <w:rFonts w:hint="eastAsia" w:ascii="仿宋" w:hAnsi="仿宋" w:eastAsia="仿宋" w:cs="仿宋"/>
          <w:color w:val="auto"/>
        </w:rPr>
      </w:pPr>
      <w:r>
        <w:rPr>
          <w:rFonts w:hint="eastAsia" w:ascii="仿宋" w:hAnsi="仿宋" w:eastAsia="仿宋" w:cs="仿宋"/>
          <w:color w:val="auto"/>
        </w:rPr>
        <w:t>□付款方式（三）：维修完成经招标人验收合格，响应供应商提供竣工结算书等相关工程资料，由招标人聘请的专业审计公司进行审计。中标人根据招标人审计后确定的金额开具等额合法发票（即发票金额需与招标人审计结果确定的金额保持一致），30个工作日内对公转账全额支付。</w:t>
      </w:r>
    </w:p>
    <w:p>
      <w:pPr>
        <w:spacing w:line="220" w:lineRule="atLeast"/>
        <w:rPr>
          <w:rFonts w:hint="eastAsia" w:ascii="仿宋" w:hAnsi="仿宋" w:eastAsia="仿宋" w:cs="仿宋"/>
          <w:color w:val="auto"/>
        </w:rPr>
      </w:pPr>
      <w:r>
        <w:rPr>
          <w:rFonts w:hint="eastAsia" w:ascii="仿宋" w:hAnsi="仿宋" w:eastAsia="仿宋" w:cs="仿宋"/>
          <w:color w:val="auto"/>
        </w:rPr>
        <w:t>七、违约责任</w:t>
      </w:r>
    </w:p>
    <w:p>
      <w:pPr>
        <w:spacing w:line="220" w:lineRule="atLeast"/>
        <w:rPr>
          <w:rFonts w:hint="eastAsia" w:ascii="仿宋" w:hAnsi="仿宋" w:eastAsia="仿宋" w:cs="仿宋"/>
          <w:color w:val="auto"/>
        </w:rPr>
      </w:pPr>
      <w:r>
        <w:rPr>
          <w:rFonts w:hint="eastAsia" w:ascii="仿宋" w:hAnsi="仿宋" w:eastAsia="仿宋" w:cs="仿宋"/>
          <w:color w:val="auto"/>
        </w:rPr>
        <w:t>因乙方提供的产品问题造成了甲方经济或名誉损失（包括但不限于甲方患者及员工受害、甲方因乙方产品问题向第三人赔偿等）的，乙方对上述甲方损失承担全额赔偿责任并额外支付甲方合同总额20%的违约金，同时甲方有权原价退回本合同项下全部产品。</w:t>
      </w:r>
    </w:p>
    <w:p>
      <w:pPr>
        <w:spacing w:line="220" w:lineRule="atLeast"/>
        <w:rPr>
          <w:rFonts w:hint="eastAsia" w:ascii="仿宋" w:hAnsi="仿宋" w:eastAsia="仿宋" w:cs="仿宋"/>
          <w:color w:val="auto"/>
        </w:rPr>
      </w:pPr>
      <w:r>
        <w:rPr>
          <w:rFonts w:hint="eastAsia" w:ascii="仿宋" w:hAnsi="仿宋" w:eastAsia="仿宋" w:cs="仿宋"/>
          <w:color w:val="auto"/>
        </w:rPr>
        <w:t>八、其他</w:t>
      </w:r>
    </w:p>
    <w:p>
      <w:pPr>
        <w:spacing w:line="220" w:lineRule="atLeast"/>
        <w:rPr>
          <w:rFonts w:hint="eastAsia" w:ascii="仿宋" w:hAnsi="仿宋" w:eastAsia="仿宋" w:cs="仿宋"/>
          <w:color w:val="auto"/>
        </w:rPr>
      </w:pPr>
      <w:r>
        <w:rPr>
          <w:rFonts w:hint="eastAsia" w:ascii="仿宋" w:hAnsi="仿宋" w:eastAsia="仿宋" w:cs="仿宋"/>
          <w:color w:val="auto"/>
        </w:rPr>
        <w:t>（一）如有未尽事宜，由甲乙双方协商解决或依法订立补充合同。</w:t>
      </w:r>
    </w:p>
    <w:p>
      <w:pPr>
        <w:spacing w:line="220" w:lineRule="atLeast"/>
        <w:rPr>
          <w:rFonts w:hint="eastAsia" w:ascii="仿宋" w:hAnsi="仿宋" w:eastAsia="仿宋" w:cs="仿宋"/>
          <w:color w:val="auto"/>
        </w:rPr>
      </w:pPr>
      <w:r>
        <w:rPr>
          <w:rFonts w:hint="eastAsia" w:ascii="仿宋" w:hAnsi="仿宋" w:eastAsia="仿宋" w:cs="仿宋"/>
          <w:color w:val="auto"/>
        </w:rPr>
        <w:t>（二）本合同一式五份，自双方签章之日起生效。甲方四份，乙方一份。</w:t>
      </w:r>
    </w:p>
    <w:p>
      <w:pPr>
        <w:spacing w:line="220" w:lineRule="atLeast"/>
        <w:rPr>
          <w:rFonts w:hint="eastAsia" w:ascii="仿宋" w:hAnsi="仿宋" w:eastAsia="仿宋" w:cs="仿宋"/>
          <w:color w:val="auto"/>
        </w:rPr>
      </w:pPr>
      <w:r>
        <w:rPr>
          <w:rFonts w:hint="eastAsia" w:ascii="仿宋" w:hAnsi="仿宋" w:eastAsia="仿宋" w:cs="仿宋"/>
          <w:color w:val="auto"/>
        </w:rPr>
        <w:t> </w:t>
      </w:r>
    </w:p>
    <w:tbl>
      <w:tblPr>
        <w:tblStyle w:val="3"/>
        <w:tblW w:w="9956" w:type="dxa"/>
        <w:jc w:val="center"/>
        <w:tblLayout w:type="autofit"/>
        <w:tblCellMar>
          <w:top w:w="0" w:type="dxa"/>
          <w:left w:w="0" w:type="dxa"/>
          <w:bottom w:w="0" w:type="dxa"/>
          <w:right w:w="0" w:type="dxa"/>
        </w:tblCellMar>
      </w:tblPr>
      <w:tblGrid>
        <w:gridCol w:w="4919"/>
        <w:gridCol w:w="5037"/>
      </w:tblGrid>
      <w:tr>
        <w:tblPrEx>
          <w:tblCellMar>
            <w:top w:w="0" w:type="dxa"/>
            <w:left w:w="0" w:type="dxa"/>
            <w:bottom w:w="0" w:type="dxa"/>
            <w:right w:w="0" w:type="dxa"/>
          </w:tblCellMar>
        </w:tblPrEx>
        <w:trPr>
          <w:trHeight w:val="1406" w:hRule="atLeast"/>
          <w:jc w:val="center"/>
        </w:trPr>
        <w:tc>
          <w:tcPr>
            <w:tcW w:w="4919" w:type="dxa"/>
            <w:tcBorders>
              <w:top w:val="nil"/>
              <w:left w:val="nil"/>
              <w:bottom w:val="nil"/>
              <w:right w:val="nil"/>
            </w:tcBorders>
            <w:tcMar>
              <w:top w:w="0" w:type="dxa"/>
              <w:left w:w="108" w:type="dxa"/>
              <w:bottom w:w="0" w:type="dxa"/>
              <w:right w:w="108" w:type="dxa"/>
            </w:tcMar>
          </w:tcPr>
          <w:p>
            <w:pPr>
              <w:spacing w:line="220" w:lineRule="atLeast"/>
              <w:rPr>
                <w:rFonts w:hint="eastAsia" w:ascii="仿宋" w:hAnsi="仿宋" w:eastAsia="仿宋" w:cs="仿宋"/>
                <w:color w:val="auto"/>
              </w:rPr>
            </w:pPr>
            <w:r>
              <w:rPr>
                <w:rFonts w:hint="eastAsia" w:ascii="仿宋" w:hAnsi="仿宋" w:eastAsia="仿宋" w:cs="仿宋"/>
                <w:color w:val="auto"/>
              </w:rPr>
              <w:t>甲方：资阳市精神病医院（公章）</w:t>
            </w:r>
          </w:p>
          <w:p>
            <w:pPr>
              <w:spacing w:line="220" w:lineRule="atLeast"/>
              <w:rPr>
                <w:rFonts w:hint="eastAsia" w:ascii="仿宋" w:hAnsi="仿宋" w:eastAsia="仿宋" w:cs="仿宋"/>
                <w:color w:val="auto"/>
              </w:rPr>
            </w:pPr>
            <w:r>
              <w:rPr>
                <w:rFonts w:hint="eastAsia" w:ascii="仿宋" w:hAnsi="仿宋" w:eastAsia="仿宋" w:cs="仿宋"/>
                <w:color w:val="auto"/>
              </w:rPr>
              <w:t>地址：资阳市雁江区莲花路95号</w:t>
            </w:r>
          </w:p>
          <w:p>
            <w:pPr>
              <w:spacing w:line="220" w:lineRule="atLeast"/>
              <w:rPr>
                <w:rFonts w:hint="eastAsia" w:ascii="仿宋" w:hAnsi="仿宋" w:eastAsia="仿宋" w:cs="仿宋"/>
                <w:color w:val="auto"/>
              </w:rPr>
            </w:pPr>
            <w:r>
              <w:rPr>
                <w:rFonts w:hint="eastAsia" w:ascii="仿宋" w:hAnsi="仿宋" w:eastAsia="仿宋" w:cs="仿宋"/>
                <w:color w:val="auto"/>
              </w:rPr>
              <w:t>法定代表人签字：</w:t>
            </w:r>
          </w:p>
          <w:p>
            <w:pPr>
              <w:spacing w:line="220" w:lineRule="atLeast"/>
              <w:rPr>
                <w:rFonts w:hint="eastAsia" w:ascii="仿宋" w:hAnsi="仿宋" w:eastAsia="仿宋" w:cs="仿宋"/>
                <w:color w:val="auto"/>
              </w:rPr>
            </w:pPr>
            <w:r>
              <w:rPr>
                <w:rFonts w:hint="eastAsia" w:ascii="仿宋" w:hAnsi="仿宋" w:eastAsia="仿宋" w:cs="仿宋"/>
                <w:color w:val="auto"/>
              </w:rPr>
              <w:t>授权代理人：</w:t>
            </w:r>
          </w:p>
          <w:p>
            <w:pPr>
              <w:spacing w:line="220" w:lineRule="atLeast"/>
              <w:rPr>
                <w:rFonts w:hint="eastAsia" w:ascii="仿宋" w:hAnsi="仿宋" w:eastAsia="仿宋" w:cs="仿宋"/>
                <w:color w:val="auto"/>
              </w:rPr>
            </w:pPr>
            <w:r>
              <w:rPr>
                <w:rFonts w:hint="eastAsia" w:ascii="仿宋" w:hAnsi="仿宋" w:eastAsia="仿宋" w:cs="仿宋"/>
                <w:color w:val="auto"/>
              </w:rPr>
              <w:t xml:space="preserve">统一社会信用代码：12511800458639842w </w:t>
            </w:r>
          </w:p>
          <w:p>
            <w:pPr>
              <w:spacing w:line="220" w:lineRule="atLeast"/>
              <w:rPr>
                <w:rFonts w:hint="eastAsia" w:ascii="仿宋" w:hAnsi="仿宋" w:eastAsia="仿宋" w:cs="仿宋"/>
                <w:color w:val="auto"/>
              </w:rPr>
            </w:pPr>
            <w:r>
              <w:rPr>
                <w:rFonts w:hint="eastAsia" w:ascii="仿宋" w:hAnsi="仿宋" w:eastAsia="仿宋" w:cs="仿宋"/>
                <w:color w:val="auto"/>
              </w:rPr>
              <w:t>开户行：中国银行资阳分行</w:t>
            </w:r>
          </w:p>
          <w:p>
            <w:pPr>
              <w:spacing w:line="220" w:lineRule="atLeast"/>
              <w:rPr>
                <w:rFonts w:hint="eastAsia" w:ascii="仿宋" w:hAnsi="仿宋" w:eastAsia="仿宋" w:cs="仿宋"/>
                <w:color w:val="auto"/>
              </w:rPr>
            </w:pPr>
            <w:r>
              <w:rPr>
                <w:rFonts w:hint="eastAsia" w:ascii="仿宋" w:hAnsi="仿宋" w:eastAsia="仿宋" w:cs="仿宋"/>
                <w:color w:val="auto"/>
              </w:rPr>
              <w:t>账号：122618501084</w:t>
            </w:r>
          </w:p>
          <w:p>
            <w:pPr>
              <w:spacing w:line="220" w:lineRule="atLeast"/>
              <w:rPr>
                <w:rFonts w:hint="eastAsia" w:ascii="仿宋" w:hAnsi="仿宋" w:eastAsia="仿宋" w:cs="仿宋"/>
                <w:color w:val="auto"/>
              </w:rPr>
            </w:pPr>
            <w:r>
              <w:rPr>
                <w:rFonts w:hint="eastAsia" w:ascii="仿宋" w:hAnsi="仿宋" w:eastAsia="仿宋" w:cs="仿宋"/>
                <w:color w:val="auto"/>
              </w:rPr>
              <w:t>电话：028-26224413</w:t>
            </w:r>
          </w:p>
          <w:p>
            <w:pPr>
              <w:spacing w:line="220" w:lineRule="atLeast"/>
              <w:rPr>
                <w:rFonts w:hint="eastAsia" w:ascii="仿宋" w:hAnsi="仿宋" w:eastAsia="仿宋" w:cs="仿宋"/>
                <w:color w:val="auto"/>
              </w:rPr>
            </w:pPr>
            <w:r>
              <w:rPr>
                <w:rFonts w:hint="eastAsia" w:ascii="仿宋" w:hAnsi="仿宋" w:eastAsia="仿宋" w:cs="仿宋"/>
                <w:color w:val="auto"/>
              </w:rPr>
              <w:t>日期：2024年　月　日</w:t>
            </w:r>
          </w:p>
        </w:tc>
        <w:tc>
          <w:tcPr>
            <w:tcW w:w="5037" w:type="dxa"/>
            <w:tcBorders>
              <w:top w:val="nil"/>
              <w:left w:val="nil"/>
              <w:bottom w:val="nil"/>
              <w:right w:val="nil"/>
            </w:tcBorders>
            <w:tcMar>
              <w:top w:w="0" w:type="dxa"/>
              <w:left w:w="108" w:type="dxa"/>
              <w:bottom w:w="0" w:type="dxa"/>
              <w:right w:w="108" w:type="dxa"/>
            </w:tcMar>
          </w:tcPr>
          <w:p>
            <w:pPr>
              <w:spacing w:line="220" w:lineRule="atLeast"/>
              <w:rPr>
                <w:rFonts w:hint="eastAsia" w:ascii="仿宋" w:hAnsi="仿宋" w:eastAsia="仿宋" w:cs="仿宋"/>
                <w:color w:val="auto"/>
              </w:rPr>
            </w:pPr>
            <w:r>
              <w:rPr>
                <w:rFonts w:hint="eastAsia" w:ascii="仿宋" w:hAnsi="仿宋" w:eastAsia="仿宋" w:cs="仿宋"/>
                <w:color w:val="auto"/>
              </w:rPr>
              <w:t>乙方：（公章）</w:t>
            </w:r>
          </w:p>
          <w:p>
            <w:pPr>
              <w:spacing w:line="220" w:lineRule="atLeast"/>
              <w:rPr>
                <w:rFonts w:hint="eastAsia" w:ascii="仿宋" w:hAnsi="仿宋" w:eastAsia="仿宋" w:cs="仿宋"/>
                <w:color w:val="auto"/>
              </w:rPr>
            </w:pPr>
            <w:r>
              <w:rPr>
                <w:rFonts w:hint="eastAsia" w:ascii="仿宋" w:hAnsi="仿宋" w:eastAsia="仿宋" w:cs="仿宋"/>
                <w:color w:val="auto"/>
              </w:rPr>
              <w:t>地址：</w:t>
            </w:r>
          </w:p>
          <w:p>
            <w:pPr>
              <w:spacing w:line="220" w:lineRule="atLeast"/>
              <w:rPr>
                <w:rFonts w:hint="eastAsia" w:ascii="仿宋" w:hAnsi="仿宋" w:eastAsia="仿宋" w:cs="仿宋"/>
                <w:color w:val="auto"/>
              </w:rPr>
            </w:pPr>
            <w:r>
              <w:rPr>
                <w:rFonts w:hint="eastAsia" w:ascii="仿宋" w:hAnsi="仿宋" w:eastAsia="仿宋" w:cs="仿宋"/>
                <w:color w:val="auto"/>
              </w:rPr>
              <w:t>法定代表人签字：</w:t>
            </w:r>
          </w:p>
          <w:p>
            <w:pPr>
              <w:spacing w:line="220" w:lineRule="atLeast"/>
              <w:rPr>
                <w:rFonts w:hint="eastAsia" w:ascii="仿宋" w:hAnsi="仿宋" w:eastAsia="仿宋" w:cs="仿宋"/>
                <w:color w:val="auto"/>
              </w:rPr>
            </w:pPr>
            <w:r>
              <w:rPr>
                <w:rFonts w:hint="eastAsia" w:ascii="仿宋" w:hAnsi="仿宋" w:eastAsia="仿宋" w:cs="仿宋"/>
                <w:color w:val="auto"/>
              </w:rPr>
              <w:t>授权代理人：</w:t>
            </w:r>
          </w:p>
          <w:p>
            <w:pPr>
              <w:spacing w:line="220" w:lineRule="atLeast"/>
              <w:rPr>
                <w:rFonts w:hint="eastAsia" w:ascii="仿宋" w:hAnsi="仿宋" w:eastAsia="仿宋" w:cs="仿宋"/>
                <w:color w:val="auto"/>
              </w:rPr>
            </w:pPr>
            <w:r>
              <w:rPr>
                <w:rFonts w:hint="eastAsia" w:ascii="仿宋" w:hAnsi="仿宋" w:eastAsia="仿宋" w:cs="仿宋"/>
                <w:color w:val="auto"/>
              </w:rPr>
              <w:t>统一社会信用代码：</w:t>
            </w:r>
          </w:p>
          <w:p>
            <w:pPr>
              <w:spacing w:line="220" w:lineRule="atLeast"/>
              <w:rPr>
                <w:rFonts w:hint="eastAsia" w:ascii="仿宋" w:hAnsi="仿宋" w:eastAsia="仿宋" w:cs="仿宋"/>
                <w:color w:val="auto"/>
              </w:rPr>
            </w:pPr>
            <w:r>
              <w:rPr>
                <w:rFonts w:hint="eastAsia" w:ascii="仿宋" w:hAnsi="仿宋" w:eastAsia="仿宋" w:cs="仿宋"/>
                <w:color w:val="auto"/>
              </w:rPr>
              <w:t>开户行：</w:t>
            </w:r>
          </w:p>
          <w:p>
            <w:pPr>
              <w:spacing w:line="220" w:lineRule="atLeast"/>
              <w:rPr>
                <w:rFonts w:hint="eastAsia" w:ascii="仿宋" w:hAnsi="仿宋" w:eastAsia="仿宋" w:cs="仿宋"/>
                <w:color w:val="auto"/>
              </w:rPr>
            </w:pPr>
            <w:r>
              <w:rPr>
                <w:rFonts w:hint="eastAsia" w:ascii="仿宋" w:hAnsi="仿宋" w:eastAsia="仿宋" w:cs="仿宋"/>
                <w:color w:val="auto"/>
              </w:rPr>
              <w:t>账号：</w:t>
            </w:r>
          </w:p>
          <w:p>
            <w:pPr>
              <w:spacing w:line="220" w:lineRule="atLeast"/>
              <w:rPr>
                <w:rFonts w:hint="eastAsia" w:ascii="仿宋" w:hAnsi="仿宋" w:eastAsia="仿宋" w:cs="仿宋"/>
                <w:color w:val="auto"/>
              </w:rPr>
            </w:pPr>
            <w:r>
              <w:rPr>
                <w:rFonts w:hint="eastAsia" w:ascii="仿宋" w:hAnsi="仿宋" w:eastAsia="仿宋" w:cs="仿宋"/>
                <w:color w:val="auto"/>
              </w:rPr>
              <w:t>电话：</w:t>
            </w:r>
          </w:p>
          <w:p>
            <w:pPr>
              <w:spacing w:line="220" w:lineRule="atLeast"/>
              <w:rPr>
                <w:rFonts w:hint="eastAsia" w:ascii="仿宋" w:hAnsi="仿宋" w:eastAsia="仿宋" w:cs="仿宋"/>
                <w:color w:val="auto"/>
              </w:rPr>
            </w:pPr>
            <w:r>
              <w:rPr>
                <w:rFonts w:hint="eastAsia" w:ascii="仿宋" w:hAnsi="仿宋" w:eastAsia="仿宋" w:cs="仿宋"/>
                <w:color w:val="auto"/>
              </w:rPr>
              <w:t>日期：2024年　月　日</w:t>
            </w:r>
          </w:p>
        </w:tc>
      </w:tr>
    </w:tbl>
    <w:p>
      <w:pPr>
        <w:spacing w:line="220" w:lineRule="atLeast"/>
        <w:rPr>
          <w:rFonts w:hint="eastAsia" w:ascii="仿宋" w:hAnsi="仿宋" w:eastAsia="仿宋" w:cs="仿宋"/>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华文琥珀">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1E6B4"/>
    <w:multiLevelType w:val="singleLevel"/>
    <w:tmpl w:val="A471E6B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Y2JmMzFlNDI1ZDY3MWRmMWY1NTAyNDRhZGQwYThjN2IifQ=="/>
  </w:docVars>
  <w:rsids>
    <w:rsidRoot w:val="00D31D50"/>
    <w:rsid w:val="000120EB"/>
    <w:rsid w:val="000531F6"/>
    <w:rsid w:val="00092CDE"/>
    <w:rsid w:val="000A4C09"/>
    <w:rsid w:val="000B32A5"/>
    <w:rsid w:val="00113D5D"/>
    <w:rsid w:val="0016782D"/>
    <w:rsid w:val="001E4EB0"/>
    <w:rsid w:val="0021033E"/>
    <w:rsid w:val="00230BBA"/>
    <w:rsid w:val="002510B5"/>
    <w:rsid w:val="00255037"/>
    <w:rsid w:val="002731F9"/>
    <w:rsid w:val="002A00E6"/>
    <w:rsid w:val="002F76D8"/>
    <w:rsid w:val="00321C73"/>
    <w:rsid w:val="00323B43"/>
    <w:rsid w:val="003503F2"/>
    <w:rsid w:val="0037364E"/>
    <w:rsid w:val="0039672A"/>
    <w:rsid w:val="003D37D8"/>
    <w:rsid w:val="004178B6"/>
    <w:rsid w:val="00426133"/>
    <w:rsid w:val="004358AB"/>
    <w:rsid w:val="004A5B16"/>
    <w:rsid w:val="004D6F3B"/>
    <w:rsid w:val="00564BD6"/>
    <w:rsid w:val="00574195"/>
    <w:rsid w:val="005E42C5"/>
    <w:rsid w:val="006A5946"/>
    <w:rsid w:val="006C2496"/>
    <w:rsid w:val="007A6EC1"/>
    <w:rsid w:val="00802432"/>
    <w:rsid w:val="00820BCD"/>
    <w:rsid w:val="008345F1"/>
    <w:rsid w:val="00867161"/>
    <w:rsid w:val="00873949"/>
    <w:rsid w:val="008A0A10"/>
    <w:rsid w:val="008B197D"/>
    <w:rsid w:val="008B7726"/>
    <w:rsid w:val="008F7E41"/>
    <w:rsid w:val="00901206"/>
    <w:rsid w:val="009050C8"/>
    <w:rsid w:val="009142EA"/>
    <w:rsid w:val="009E7028"/>
    <w:rsid w:val="009F522C"/>
    <w:rsid w:val="00A6046D"/>
    <w:rsid w:val="00A7147E"/>
    <w:rsid w:val="00A77692"/>
    <w:rsid w:val="00A96F43"/>
    <w:rsid w:val="00AE36F6"/>
    <w:rsid w:val="00AE741E"/>
    <w:rsid w:val="00AF5FC3"/>
    <w:rsid w:val="00B22446"/>
    <w:rsid w:val="00B54B8B"/>
    <w:rsid w:val="00B65840"/>
    <w:rsid w:val="00BD11CC"/>
    <w:rsid w:val="00C441A8"/>
    <w:rsid w:val="00C71673"/>
    <w:rsid w:val="00C90B7A"/>
    <w:rsid w:val="00CA31FD"/>
    <w:rsid w:val="00D31D50"/>
    <w:rsid w:val="00D64156"/>
    <w:rsid w:val="00D7214E"/>
    <w:rsid w:val="00D75D89"/>
    <w:rsid w:val="00DD7F02"/>
    <w:rsid w:val="00F07907"/>
    <w:rsid w:val="067464B7"/>
    <w:rsid w:val="25635181"/>
    <w:rsid w:val="32636037"/>
    <w:rsid w:val="37107101"/>
    <w:rsid w:val="4EDC58F6"/>
    <w:rsid w:val="7E21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Autospacing="0" w:after="0" w:afterAutospacing="0" w:line="560" w:lineRule="exact"/>
      <w:ind w:firstLine="0" w:firstLineChars="0"/>
      <w:jc w:val="center"/>
      <w:outlineLvl w:val="0"/>
    </w:pPr>
    <w:rPr>
      <w:rFonts w:hint="eastAsia" w:ascii="宋体" w:hAnsi="宋体" w:eastAsia="方正小标宋简体" w:cs="宋体"/>
      <w:kern w:val="44"/>
      <w:sz w:val="44"/>
      <w:szCs w:val="48"/>
      <w:lang w:bidi="ar"/>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autoRedefine/>
    <w:unhideWhenUsed/>
    <w:qFormat/>
    <w:uiPriority w:val="99"/>
    <w:rPr>
      <w:color w:val="0000FF" w:themeColor="hyperlink"/>
      <w:u w:val="single"/>
    </w:rPr>
  </w:style>
  <w:style w:type="paragraph" w:customStyle="1" w:styleId="7">
    <w:name w:val="Other|1"/>
    <w:basedOn w:val="1"/>
    <w:autoRedefine/>
    <w:qFormat/>
    <w:uiPriority w:val="0"/>
    <w:pPr>
      <w:widowControl w:val="0"/>
    </w:pPr>
    <w:rPr>
      <w:sz w:val="17"/>
      <w:szCs w:val="17"/>
      <w:lang w:val="zh-TW" w:eastAsia="zh-TW" w:bidi="zh-TW"/>
    </w:rPr>
  </w:style>
  <w:style w:type="character" w:customStyle="1" w:styleId="8">
    <w:name w:val="Body text|1_"/>
    <w:basedOn w:val="5"/>
    <w:link w:val="9"/>
    <w:autoRedefine/>
    <w:qFormat/>
    <w:uiPriority w:val="0"/>
    <w:rPr>
      <w:rFonts w:ascii="宋体" w:hAnsi="宋体" w:eastAsia="宋体" w:cs="宋体"/>
      <w:sz w:val="18"/>
      <w:szCs w:val="18"/>
      <w:lang w:val="zh-TW" w:eastAsia="zh-TW" w:bidi="zh-TW"/>
    </w:rPr>
  </w:style>
  <w:style w:type="paragraph" w:customStyle="1" w:styleId="9">
    <w:name w:val="Body text|1"/>
    <w:basedOn w:val="1"/>
    <w:link w:val="8"/>
    <w:autoRedefine/>
    <w:qFormat/>
    <w:uiPriority w:val="0"/>
    <w:pPr>
      <w:widowControl w:val="0"/>
      <w:adjustRightInd/>
      <w:snapToGrid/>
      <w:spacing w:line="302" w:lineRule="auto"/>
    </w:pPr>
    <w:rPr>
      <w:rFonts w:ascii="宋体" w:hAnsi="宋体" w:eastAsia="宋体" w:cs="宋体"/>
      <w:sz w:val="18"/>
      <w:szCs w:val="1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682</Words>
  <Characters>3894</Characters>
  <Lines>32</Lines>
  <Paragraphs>9</Paragraphs>
  <TotalTime>20</TotalTime>
  <ScaleCrop>false</ScaleCrop>
  <LinksUpToDate>false</LinksUpToDate>
  <CharactersWithSpaces>4567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消旋山莨菪碱</cp:lastModifiedBy>
  <cp:lastPrinted>2024-02-19T00:50:00Z</cp:lastPrinted>
  <dcterms:modified xsi:type="dcterms:W3CDTF">2024-02-19T01:54:47Z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0560394D4FAE488C8583EB13BE667B58_13</vt:lpwstr>
  </property>
</Properties>
</file>